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15.xml"/>
  <Override ContentType="application/vnd.ms-office.chartcolorstyle+xml" PartName="/word/charts/colors9.xml"/>
  <Override ContentType="application/vnd.ms-office.chartcolorstyle+xml" PartName="/word/charts/colors8.xml"/>
  <Override ContentType="application/vnd.ms-office.chartcolorstyle+xml" PartName="/word/charts/colors14.xml"/>
  <Override ContentType="application/vnd.ms-office.chartcolorstyle+xml" PartName="/word/charts/colors4.xml"/>
  <Override ContentType="application/vnd.ms-office.chartcolorstyle+xml" PartName="/word/charts/colors12.xml"/>
  <Override ContentType="application/vnd.ms-office.chartcolorstyle+xml" PartName="/word/charts/colors2.xml"/>
  <Override ContentType="application/vnd.ms-office.chartcolorstyle+xml" PartName="/word/charts/colors10.xml"/>
  <Override ContentType="application/vnd.ms-office.chartcolorstyle+xml" PartName="/word/charts/colors16.xml"/>
  <Override ContentType="application/vnd.ms-office.chartcolorstyle+xml" PartName="/word/charts/colors5.xml"/>
  <Override ContentType="application/vnd.ms-office.chartcolorstyle+xml" PartName="/word/charts/colors7.xml"/>
  <Override ContentType="application/vnd.ms-office.chartcolorstyle+xml" PartName="/word/charts/colors13.xml"/>
  <Override ContentType="application/vnd.ms-office.chartcolorstyle+xml" PartName="/word/charts/colors3.xml"/>
  <Override ContentType="application/vnd.ms-office.chartcolorstyle+xml" PartName="/word/charts/colors11.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9.xml"/>
  <Override ContentType="application/vnd.openxmlformats-officedocument.drawingml.chart+xml" PartName="/word/charts/chart1.xml"/>
  <Override ContentType="application/vnd.openxmlformats-officedocument.drawingml.chart+xml" PartName="/word/charts/chart14.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10.xml"/>
  <Override ContentType="application/vnd.openxmlformats-officedocument.drawingml.chart+xml" PartName="/word/charts/chart15.xml"/>
  <Override ContentType="application/vnd.openxmlformats-officedocument.drawingml.chart+xml" PartName="/word/charts/chart9.xml"/>
  <Override ContentType="application/vnd.openxmlformats-officedocument.drawingml.chart+xml" PartName="/word/charts/chart17.xml"/>
  <Override ContentType="application/vnd.openxmlformats-officedocument.drawingml.chart+xml" PartName="/word/charts/chart13.xml"/>
  <Override ContentType="application/vnd.openxmlformats-officedocument.drawingml.chart+xml" PartName="/word/charts/chart18.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11.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16.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drawingml.chartshapes+xml" PartName="/word/drawings/drawing1.xml"/>
  <Override ContentType="application/vnd.ms-office.chartstyle+xml" PartName="/word/charts/style14.xml"/>
  <Override ContentType="application/vnd.ms-office.chartstyle+xml" PartName="/word/charts/style5.xml"/>
  <Override ContentType="application/vnd.ms-office.chartstyle+xml" PartName="/word/charts/style16.xml"/>
  <Override ContentType="application/vnd.ms-office.chartstyle+xml" PartName="/word/charts/style7.xml"/>
  <Override ContentType="application/vnd.ms-office.chartstyle+xml" PartName="/word/charts/style12.xml"/>
  <Override ContentType="application/vnd.ms-office.chartstyle+xml" PartName="/word/charts/style9.xml"/>
  <Override ContentType="application/vnd.ms-office.chartstyle+xml" PartName="/word/charts/style4.xml"/>
  <Override ContentType="application/vnd.ms-office.chartstyle+xml" PartName="/word/charts/style2.xml"/>
  <Override ContentType="application/vnd.ms-office.chartstyle+xml" PartName="/word/charts/style1.xml"/>
  <Override ContentType="application/vnd.ms-office.chartstyle+xml" PartName="/word/charts/style6.xml"/>
  <Override ContentType="application/vnd.ms-office.chartstyle+xml" PartName="/word/charts/style10.xml"/>
  <Override ContentType="application/vnd.ms-office.chartstyle+xml" PartName="/word/charts/style15.xml"/>
  <Override ContentType="application/vnd.ms-office.chartstyle+xml" PartName="/word/charts/style8.xml"/>
  <Override ContentType="application/vnd.ms-office.chartstyle+xml" PartName="/word/charts/style13.xml"/>
  <Override ContentType="application/vnd.ms-office.chartstyle+xml" PartName="/word/charts/style11.xml"/>
  <Override ContentType="application/vnd.ms-office.chartstyle+xml" PartName="/word/charts/style3.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Componente diagnóstico</w:t>
              <w:tab/>
              <w:t xml:space="preserve">3</w:t>
            </w:r>
          </w:hyperlink>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Características generales del área protegida.</w:t>
              <w:tab/>
              <w:t xml:space="preserve">3</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Análisis predial del área protegida.</w:t>
              <w:tab/>
              <w:t xml:space="preserve">4</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 Cambio Climático</w:t>
              <w:tab/>
              <w:t xml:space="preserve">8</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Gestión del riesgo de incendios de cobertura vegetal.</w:t>
              <w:tab/>
              <w:t xml:space="preserve">17</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Objetivos de conservación</w:t>
              <w:tab/>
              <w:t xml:space="preserve">20</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Valores Objeto de Conservación</w:t>
              <w:tab/>
              <w:t xml:space="preserve">21</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Biodiversidad</w:t>
              <w:tab/>
              <w:t xml:space="preserve">23</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 Análisis de ecosistemas</w:t>
              <w:tab/>
              <w:t xml:space="preserve">23</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 Diversidad Biológica y especies con algún grado de amenaza</w:t>
              <w:tab/>
              <w:t xml:space="preserve">24</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Análisis multitemporal de usos del suelo</w:t>
              <w:tab/>
              <w:t xml:space="preserve">30</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Contribuciones de las áreas protegidas</w:t>
              <w:tab/>
              <w:t xml:space="preserve">31</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 Servicios de aprovisionamiento:</w:t>
              <w:tab/>
              <w:t xml:space="preserve">32</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 Calidad del agua superficial - Índice de calidad del agua IFSN:</w:t>
              <w:tab/>
              <w:t xml:space="preserve">33</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 Servicios de regulación:</w:t>
              <w:tab/>
              <w:t xml:space="preserve">34</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 Servicios culturales. Recreación y ecoturismo:</w:t>
              <w:tab/>
              <w:t xml:space="preserve">34</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Inversiones.</w:t>
              <w:tab/>
              <w:t xml:space="preserve">39</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Presiones.</w:t>
              <w:tab/>
              <w:t xml:space="preserve">41</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Evaluación de la efectividad del manejo</w:t>
              <w:tab/>
              <w:t xml:space="preserve">42</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 Síntesis Diagnóstica.</w:t>
              <w:tab/>
              <w:t xml:space="preserve">48</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rPr/>
      </w:pPr>
      <w:r w:rsidDel="00000000" w:rsidR="00000000" w:rsidRPr="00000000">
        <w:rPr>
          <w:rFonts w:ascii="Calibri" w:cs="Calibri" w:eastAsia="Calibri" w:hAnsi="Calibri"/>
          <w:color w:val="2e75b5"/>
          <w:sz w:val="32"/>
          <w:szCs w:val="32"/>
          <w:rtl w:val="0"/>
        </w:rPr>
        <w:t xml:space="preserve">Mapas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Mapa 1. Ubicación del AR Alto del Rey en el departamento de Risaralda</w:t>
              <w:tab/>
              <w:t xml:space="preserve">2</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Mapa 2. Veredas del AR Alto del Rey</w:t>
              <w:tab/>
              <w:t xml:space="preserve">3</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Mapa 3. Vulnerabilidad socioeconómica y ambiental a incendios de cobertura vegetal del AR Alto del Rey</w:t>
              <w:tab/>
              <w:t xml:space="preserve">20</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Mapa 4. Ecosistemas AR Alto del Rey 2015</w:t>
              <w:tab/>
              <w:t xml:space="preserve">24</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Mapa 5. Usos del Suelo AR Alto del Rey 2011</w:t>
              <w:tab/>
              <w:t xml:space="preserve">31</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Mapa 6. Usos del suelo AR Alto del Rey 2016</w:t>
              <w:tab/>
              <w:t xml:space="preserve">31</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rPr>
          <w:rFonts w:ascii="Calibri" w:cs="Calibri" w:eastAsia="Calibri" w:hAnsi="Calibri"/>
          <w:color w:val="2e75b5"/>
          <w:sz w:val="32"/>
          <w:szCs w:val="32"/>
        </w:rPr>
      </w:pPr>
      <w:r w:rsidDel="00000000" w:rsidR="00000000" w:rsidRPr="00000000">
        <w:rPr>
          <w:rFonts w:ascii="Calibri" w:cs="Calibri" w:eastAsia="Calibri" w:hAnsi="Calibri"/>
          <w:color w:val="2e75b5"/>
          <w:sz w:val="32"/>
          <w:szCs w:val="32"/>
          <w:rtl w:val="0"/>
        </w:rPr>
        <w:t xml:space="preserve">Tablas</w:t>
      </w:r>
    </w:p>
    <w:sdt>
      <w:sdtPr>
        <w:docPartObj>
          <w:docPartGallery w:val="Table of Contents"/>
          <w:docPartUnique w:val="1"/>
        </w:docPartObj>
      </w:sdtPr>
      <w:sdtContent>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 Veredas y población del ÁR Alto del Rey.</w:t>
              <w:tab/>
              <w:t xml:space="preserve">4</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2. Temperatura promedio mensual para el periodo 2016 – 2018 en la Estación La Celia</w:t>
              <w:tab/>
              <w:t xml:space="preserve">8</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3. Temperaturas para el año 2018 en la Estación Patio Bonito</w:t>
              <w:tab/>
              <w:t xml:space="preserve">8</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4. Precipitación acumulada mensual para el período 2016 – 2018 en la estación La Celia</w:t>
              <w:tab/>
              <w:t xml:space="preserve">9</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5. Eventos reportados entre 2004 y 2015. Municipio de Balboa, Risaralda</w:t>
              <w:tab/>
              <w:t xml:space="preserve">9</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6. Principales riesgos estimados relacionados con la variabilidad climática (VC) y cambio climático (CC) para el AR Alto del Rey.</w:t>
              <w:tab/>
              <w:t xml:space="preserve">14</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7. Manifestaciones del cambio climático en el AR Alto del Rey</w:t>
              <w:tab/>
              <w:t xml:space="preserve">14</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8. Caracterización y fuente de las presiones identificadas en el AR Alto del Rey</w:t>
              <w:tab/>
              <w:t xml:space="preserve">15</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9. Conceptos básicos relacionados con incendios de cobertura vegetal</w:t>
              <w:tab/>
              <w:t xml:space="preserve">16</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10. Eventos asociados a incendios de la cobertura vegetal al interior del AR Alto del Rey</w:t>
              <w:tab/>
              <w:t xml:space="preserve">19</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11. Riqueza de especies de aves por familia para el AR Alto del Rey</w:t>
              <w:tab/>
              <w:t xml:space="preserve">24</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12. Cincuenta especies utilizadas en procesos de recuperación de coberturas en predios CARDER</w:t>
              <w:tab/>
              <w:t xml:space="preserve">27</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13. Treinta (30) especies más representativas de regeneración bajo coberturas de plantaciones en las áreas protegidas del SIDAP Risaralda</w:t>
              <w:tab/>
              <w:t xml:space="preserve">29</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14. Usos del suelo AR Alto del Rey</w:t>
              <w:tab/>
              <w:t xml:space="preserve">30</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15. Acueductos y número de suscriptores que se benefician del recurso hídrico del AR Alto del Rey</w:t>
              <w:tab/>
              <w:t xml:space="preserve">32</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16. Patrimonio Cultural en Casas de la Cultura o Museos en Risaralda</w:t>
              <w:tab/>
              <w:t xml:space="preserve">36</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17. Infraestructura relacionada con los senderos en el AR Alto del Rey</w:t>
              <w:tab/>
              <w:t xml:space="preserve">38</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18. Recursos y atractivos turísticos del AR Alto del Rey</w:t>
              <w:tab/>
              <w:t xml:space="preserve">38</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19. Inversiones de entidades diferentes a CARDER y desde otros programas de conservación</w:t>
              <w:tab/>
              <w:t xml:space="preserve">39</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20. Caracterización y fuente de las presiones identificadas en el AR Alto del Rey</w:t>
              <w:tab/>
              <w:t xml:space="preserve">41</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Tabla 21. Síntesis Diagnóstica</w:t>
              <w:tab/>
              <w:t xml:space="preserve">47</w:t>
            </w:r>
          </w:hyperlink>
          <w:r w:rsidDel="00000000" w:rsidR="00000000" w:rsidRPr="00000000">
            <w:rPr>
              <w:rtl w:val="0"/>
            </w:rPr>
          </w:r>
        </w:p>
        <w:p w:rsidR="00000000" w:rsidDel="00000000" w:rsidP="00000000" w:rsidRDefault="00000000" w:rsidRPr="00000000" w14:paraId="00000035">
          <w:pPr>
            <w:rPr>
              <w:rFonts w:ascii="Calibri" w:cs="Calibri" w:eastAsia="Calibri" w:hAnsi="Calibri"/>
              <w:color w:val="2e75b5"/>
              <w:sz w:val="32"/>
              <w:szCs w:val="3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rPr>
          <w:rFonts w:ascii="Calibri" w:cs="Calibri" w:eastAsia="Calibri" w:hAnsi="Calibri"/>
          <w:color w:val="2e75b5"/>
          <w:sz w:val="32"/>
          <w:szCs w:val="32"/>
        </w:rPr>
      </w:pPr>
      <w:r w:rsidDel="00000000" w:rsidR="00000000" w:rsidRPr="00000000">
        <w:rPr>
          <w:rFonts w:ascii="Calibri" w:cs="Calibri" w:eastAsia="Calibri" w:hAnsi="Calibri"/>
          <w:color w:val="2e75b5"/>
          <w:sz w:val="32"/>
          <w:szCs w:val="32"/>
          <w:rtl w:val="0"/>
        </w:rPr>
        <w:t xml:space="preserve">Graficas</w:t>
      </w:r>
    </w:p>
    <w:sdt>
      <w:sdtPr>
        <w:docPartObj>
          <w:docPartGallery w:val="Table of Contents"/>
          <w:docPartUnique w:val="1"/>
        </w:docPartObj>
      </w:sdtPr>
      <w:sdtContent>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3dy6v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 Número de hectáreas y predios por tipo de zona</w:t>
              <w:tab/>
              <w:t xml:space="preserve">5</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2. Tamaño de los predios por rango en hectáreas en el AR Alto del Rey</w:t>
              <w:tab/>
              <w:t xml:space="preserve">5</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3. Tamaño de los predios por rango de hectáreas con relación al UAF del municipio de Balboa</w:t>
              <w:tab/>
              <w:t xml:space="preserve">6</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4. Rangos en porcentaje y hectáreas de los predios al interior del AR Alto del Rey</w:t>
              <w:tab/>
              <w:t xml:space="preserve">6</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5. Porcentaje de los predios ubicados total y parcialmente al interior del AR Alto del Rey</w:t>
              <w:tab/>
              <w:t xml:space="preserve">7</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6. Concesiones otorgadas en el AR Alto del Rey menores a 0.1 l/seg. 2010 – 2019 y destino del recurso hídrico</w:t>
              <w:tab/>
              <w:t xml:space="preserve">31</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7. Destino del caudal l/s concesionado en el AR Alto del Rey 2010 – 2019</w:t>
              <w:tab/>
              <w:t xml:space="preserve">31</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8. Índice de calidad del agua, IFSN Quebrada La Bedoya o Granatal período 2010 - 2018</w:t>
              <w:tab/>
              <w:t xml:space="preserve">32</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9. Implementación de recursos CARDER a través del plan operativo anual</w:t>
              <w:tab/>
              <w:t xml:space="preserve">39</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10. Presiones identificadas en el AR Alto del Rey</w:t>
              <w:tab/>
              <w:t xml:space="preserve">40</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11. Resultados del Índice de Efectividad del AR Alto del Rey</w:t>
              <w:tab/>
              <w:t xml:space="preserve">42</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12. Resultado del avance en la Efectividad del Manejo del AR Alto del Rey</w:t>
              <w:tab/>
              <w:t xml:space="preserve">42</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13. Resultados del Eje temático Logros</w:t>
              <w:tab/>
              <w:t xml:space="preserve">43</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14. Resultados del Eje Temático: Contexto</w:t>
              <w:tab/>
              <w:t xml:space="preserve">43</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15. Resultados del Eje Temático: Planeación, seguimiento y Evaluación</w:t>
              <w:tab/>
              <w:t xml:space="preserve">44</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16. Resultados del Eje Temático: Gestión de los recursos físicos, financieros y humanos</w:t>
              <w:tab/>
              <w:t xml:space="preserve">45</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17. Resultados del Eje Temático: Gobernanza</w:t>
              <w:tab/>
              <w:t xml:space="preserve">45</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vac5u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18. Resultados del Eje Temático: Sistemas Productivos Sostenibles</w:t>
              <w:tab/>
              <w:t xml:space="preserve">46</w:t>
            </w:r>
          </w:hyperlink>
          <w:r w:rsidDel="00000000" w:rsidR="00000000" w:rsidRPr="00000000">
            <w:rPr>
              <w:rtl w:val="0"/>
            </w:rPr>
          </w:r>
        </w:p>
        <w:p w:rsidR="00000000" w:rsidDel="00000000" w:rsidP="00000000" w:rsidRDefault="00000000" w:rsidRPr="00000000" w14:paraId="00000049">
          <w:pPr>
            <w:rPr>
              <w:rFonts w:ascii="Calibri" w:cs="Calibri" w:eastAsia="Calibri" w:hAnsi="Calibri"/>
              <w:color w:val="2e75b5"/>
              <w:sz w:val="32"/>
              <w:szCs w:val="3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pStyle w:val="Heading1"/>
        <w:rPr/>
      </w:pPr>
      <w:bookmarkStart w:colFirst="0" w:colLast="0" w:name="_heading=h.gjdgxs" w:id="0"/>
      <w:bookmarkEnd w:id="0"/>
      <w:r w:rsidDel="00000000" w:rsidR="00000000" w:rsidRPr="00000000">
        <w:rPr>
          <w:rtl w:val="0"/>
        </w:rPr>
        <w:t xml:space="preserve">1. Componente diagnóstico</w:t>
      </w:r>
    </w:p>
    <w:p w:rsidR="00000000" w:rsidDel="00000000" w:rsidP="00000000" w:rsidRDefault="00000000" w:rsidRPr="00000000" w14:paraId="0000004B">
      <w:pPr>
        <w:ind w:left="426"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C">
      <w:pPr>
        <w:pStyle w:val="Heading2"/>
        <w:rPr/>
      </w:pPr>
      <w:bookmarkStart w:colFirst="0" w:colLast="0" w:name="_heading=h.30j0zll" w:id="1"/>
      <w:bookmarkEnd w:id="1"/>
      <w:r w:rsidDel="00000000" w:rsidR="00000000" w:rsidRPr="00000000">
        <w:rPr>
          <w:rtl w:val="0"/>
        </w:rPr>
        <w:t xml:space="preserve">1.1. Características generales del área protegida.</w:t>
      </w:r>
    </w:p>
    <w:p w:rsidR="00000000" w:rsidDel="00000000" w:rsidP="00000000" w:rsidRDefault="00000000" w:rsidRPr="00000000" w14:paraId="0000004D">
      <w:pPr>
        <w:ind w:left="284"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de Recreación Alto del Rey se encuentra ubicada en la vertiente oriental de la cordillera Occidental, en el municipio de Balboa, Risaralda (Mapa 1). Tiene una extensión total de 137,5 hectáreas y se ubica en un rango altitudinal de 1350 -1475 m.s.n.m. El acceso al área se realiza por la vía que conduce del municipio de La Virginia a Balboa, con la entrada principal por la vereda Carminales Alto, por la vía terciaria en el sitio llamado La Quiebra. El área es en su gran mayoría propiedad privada, aunque existen algunos predios adquiridos por la CARDER y la Administración municipal para la conservación del recurso hídrico.</w:t>
      </w:r>
    </w:p>
    <w:p w:rsidR="00000000" w:rsidDel="00000000" w:rsidP="00000000" w:rsidRDefault="00000000" w:rsidRPr="00000000" w14:paraId="0000004F">
      <w:pPr>
        <w:ind w:left="284"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de Recreación Alto del Rey fue identificada de importancia para la conservación de la biodiversidad y el recurso hídrico en el municipio de Balboa por su riqueza paisajística, esta es considerada una estrella hídrica por los 15 a 20 nacimientos de agua que produce, con quebradas de importancia como La Bedoya, Carminales, La Toma, La Bella, El Rey, La Ginebra, La Rosa, El Pedrero, Cañada Honda, La China, El Plan Mata de Guadua, Cascabel, Granatal, entre otras. Aunque estas fuentes de agua no abastecen el acueducto municipal de Balboa, si abastecen a los habitantes del área y varias veredas de la parte baja del área protegida.</w:t>
      </w:r>
    </w:p>
    <w:p w:rsidR="00000000" w:rsidDel="00000000" w:rsidP="00000000" w:rsidRDefault="00000000" w:rsidRPr="00000000" w14:paraId="0000005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2">
      <w:pPr>
        <w:ind w:left="284"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3">
      <w:pPr>
        <w:ind w:left="284" w:firstLine="0"/>
        <w:jc w:val="center"/>
        <w:rPr>
          <w:rFonts w:ascii="Arial Narrow" w:cs="Arial Narrow" w:eastAsia="Arial Narrow" w:hAnsi="Arial Narrow"/>
          <w:sz w:val="24"/>
          <w:szCs w:val="24"/>
        </w:rPr>
      </w:pPr>
      <w:r w:rsidDel="00000000" w:rsidR="00000000" w:rsidRPr="00000000">
        <w:rPr/>
        <w:drawing>
          <wp:inline distB="0" distT="0" distL="0" distR="0">
            <wp:extent cx="4353651" cy="3076817"/>
            <wp:effectExtent b="0" l="0" r="0" t="0"/>
            <wp:docPr id="759"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4353651" cy="307681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 Ubicación del AR Alto del Rey en el departamento de Risaralda</w:t>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Esta fue declarada Parque Municipal Natural en 1996 y en el 2011 hizo parte del proceso de recategorización a través de la aplicación del decreto 2372 de 2010. Por medio de este se unificaron las categorías de áreas protegidas para el nivel regional, cambiando de categoría a Área de Recreación Alto del Rey, el cual según la definición del decreto es un “espacio geográfico en los que los paisajes y ecosistemas estratégicos en la escala regional, mantienen la función, aunque su estructura y composición hayan sido modificadas, con un potencial significativo de recuperación y cuyos valores naturales y culturales asociados, se ponen al alcance de la población humana para destinarlos a su restauración, uso sostenible y disfrute”.</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349622" cy="3361072"/>
            <wp:effectExtent b="0" l="0" r="0" t="0"/>
            <wp:docPr id="760"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4349622" cy="3361072"/>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2. Veredas del AR Alto del Rey</w:t>
      </w:r>
      <w:r w:rsidDel="00000000" w:rsidR="00000000" w:rsidRPr="00000000">
        <w:rPr>
          <w:rtl w:val="0"/>
        </w:rPr>
      </w:r>
    </w:p>
    <w:p w:rsidR="00000000" w:rsidDel="00000000" w:rsidP="00000000" w:rsidRDefault="00000000" w:rsidRPr="00000000" w14:paraId="0000005A">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Población.</w:t>
      </w:r>
    </w:p>
    <w:p w:rsidR="00000000" w:rsidDel="00000000" w:rsidP="00000000" w:rsidRDefault="00000000" w:rsidRPr="00000000" w14:paraId="0000005B">
      <w:pPr>
        <w:rPr>
          <w:rFonts w:ascii="Arial Narrow" w:cs="Arial Narrow" w:eastAsia="Arial Narrow" w:hAnsi="Arial Narrow"/>
          <w:sz w:val="20"/>
          <w:szCs w:val="20"/>
        </w:rPr>
      </w:pPr>
      <w:r w:rsidDel="00000000" w:rsidR="00000000" w:rsidRPr="00000000">
        <w:rPr>
          <w:rtl w:val="0"/>
        </w:rPr>
      </w:r>
    </w:p>
    <w:tbl>
      <w:tblPr>
        <w:tblStyle w:val="Table1"/>
        <w:tblW w:w="6656.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559"/>
        <w:gridCol w:w="1559"/>
        <w:gridCol w:w="1559"/>
        <w:tblGridChange w:id="0">
          <w:tblGrid>
            <w:gridCol w:w="1980"/>
            <w:gridCol w:w="1559"/>
            <w:gridCol w:w="1559"/>
            <w:gridCol w:w="1559"/>
          </w:tblGrid>
        </w:tblGridChange>
      </w:tblGrid>
      <w:tr>
        <w:trPr>
          <w:trHeight w:val="227" w:hRule="atLeast"/>
        </w:trPr>
        <w:tc>
          <w:tcPr>
            <w:shd w:fill="d6e3bc" w:val="clear"/>
            <w:vAlign w:val="center"/>
          </w:tcPr>
          <w:p w:rsidR="00000000" w:rsidDel="00000000" w:rsidP="00000000" w:rsidRDefault="00000000" w:rsidRPr="00000000" w14:paraId="0000005C">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Veredas</w:t>
            </w:r>
          </w:p>
        </w:tc>
        <w:tc>
          <w:tcPr>
            <w:shd w:fill="d6e3bc" w:val="clear"/>
            <w:vAlign w:val="center"/>
          </w:tcPr>
          <w:p w:rsidR="00000000" w:rsidDel="00000000" w:rsidP="00000000" w:rsidRDefault="00000000" w:rsidRPr="00000000" w14:paraId="0000005D">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Área total (ha)</w:t>
            </w:r>
          </w:p>
        </w:tc>
        <w:tc>
          <w:tcPr>
            <w:shd w:fill="d6e3bc" w:val="clear"/>
            <w:vAlign w:val="center"/>
          </w:tcPr>
          <w:p w:rsidR="00000000" w:rsidDel="00000000" w:rsidP="00000000" w:rsidRDefault="00000000" w:rsidRPr="00000000" w14:paraId="0000005E">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Área interior del Parque  (ha)</w:t>
            </w:r>
          </w:p>
        </w:tc>
        <w:tc>
          <w:tcPr>
            <w:shd w:fill="d6e3bc" w:val="clear"/>
          </w:tcPr>
          <w:p w:rsidR="00000000" w:rsidDel="00000000" w:rsidP="00000000" w:rsidRDefault="00000000" w:rsidRPr="00000000" w14:paraId="0000005F">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Población</w:t>
            </w:r>
          </w:p>
        </w:tc>
      </w:tr>
      <w:tr>
        <w:trPr>
          <w:trHeight w:val="227" w:hRule="atLeast"/>
        </w:trPr>
        <w:tc>
          <w:tcPr>
            <w:shd w:fill="auto" w:val="clear"/>
            <w:vAlign w:val="center"/>
          </w:tcPr>
          <w:p w:rsidR="00000000" w:rsidDel="00000000" w:rsidP="00000000" w:rsidRDefault="00000000" w:rsidRPr="00000000" w14:paraId="00000060">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Carminales Alto</w:t>
            </w:r>
          </w:p>
        </w:tc>
        <w:tc>
          <w:tcPr>
            <w:vAlign w:val="bottom"/>
          </w:tcPr>
          <w:p w:rsidR="00000000" w:rsidDel="00000000" w:rsidP="00000000" w:rsidRDefault="00000000" w:rsidRPr="00000000" w14:paraId="00000061">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285</w:t>
            </w:r>
          </w:p>
        </w:tc>
        <w:tc>
          <w:tcPr>
            <w:shd w:fill="auto" w:val="clear"/>
            <w:vAlign w:val="bottom"/>
          </w:tcPr>
          <w:p w:rsidR="00000000" w:rsidDel="00000000" w:rsidP="00000000" w:rsidRDefault="00000000" w:rsidRPr="00000000" w14:paraId="0000006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72</w:t>
            </w:r>
          </w:p>
        </w:tc>
        <w:tc>
          <w:tcPr/>
          <w:p w:rsidR="00000000" w:rsidDel="00000000" w:rsidP="00000000" w:rsidRDefault="00000000" w:rsidRPr="00000000" w14:paraId="00000063">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141</w:t>
            </w:r>
          </w:p>
        </w:tc>
      </w:tr>
      <w:tr>
        <w:trPr>
          <w:trHeight w:val="227" w:hRule="atLeast"/>
        </w:trPr>
        <w:tc>
          <w:tcPr>
            <w:shd w:fill="auto" w:val="clear"/>
            <w:vAlign w:val="center"/>
          </w:tcPr>
          <w:p w:rsidR="00000000" w:rsidDel="00000000" w:rsidP="00000000" w:rsidRDefault="00000000" w:rsidRPr="00000000" w14:paraId="00000064">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La Quiebra</w:t>
            </w:r>
          </w:p>
        </w:tc>
        <w:tc>
          <w:tcPr>
            <w:vAlign w:val="bottom"/>
          </w:tcPr>
          <w:p w:rsidR="00000000" w:rsidDel="00000000" w:rsidP="00000000" w:rsidRDefault="00000000" w:rsidRPr="00000000" w14:paraId="00000065">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287</w:t>
            </w:r>
          </w:p>
        </w:tc>
        <w:tc>
          <w:tcPr>
            <w:shd w:fill="auto" w:val="clear"/>
            <w:vAlign w:val="bottom"/>
          </w:tcPr>
          <w:p w:rsidR="00000000" w:rsidDel="00000000" w:rsidP="00000000" w:rsidRDefault="00000000" w:rsidRPr="00000000" w14:paraId="0000006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54</w:t>
            </w:r>
          </w:p>
        </w:tc>
        <w:tc>
          <w:tcPr/>
          <w:p w:rsidR="00000000" w:rsidDel="00000000" w:rsidP="00000000" w:rsidRDefault="00000000" w:rsidRPr="00000000" w14:paraId="00000067">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212</w:t>
            </w:r>
          </w:p>
        </w:tc>
      </w:tr>
    </w:tb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2et92p0" w:id="4"/>
      <w:bookmarkEnd w:id="4"/>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 Veredas y población del ÁR Alto del Rey.</w:t>
      </w:r>
    </w:p>
    <w:p w:rsidR="00000000" w:rsidDel="00000000" w:rsidP="00000000" w:rsidRDefault="00000000" w:rsidRPr="00000000" w14:paraId="0000006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veredas Granatal y La Aurora, hacen parte del área de influencia del Área de Recreación, las cuales son estratégicas para los procesos de conservación, ya que se ha realizado articulación para el establecimiento de corredores de conservación con el área protegida. </w:t>
      </w:r>
    </w:p>
    <w:p w:rsidR="00000000" w:rsidDel="00000000" w:rsidP="00000000" w:rsidRDefault="00000000" w:rsidRPr="00000000" w14:paraId="0000006A">
      <w:pPr>
        <w:rPr>
          <w:rFonts w:ascii="Arial Narrow" w:cs="Arial Narrow" w:eastAsia="Arial Narrow" w:hAnsi="Arial Narrow"/>
          <w:strike w:val="1"/>
          <w:sz w:val="24"/>
          <w:szCs w:val="24"/>
          <w:highlight w:val="yellow"/>
        </w:rPr>
      </w:pPr>
      <w:r w:rsidDel="00000000" w:rsidR="00000000" w:rsidRPr="00000000">
        <w:rPr>
          <w:rtl w:val="0"/>
        </w:rPr>
      </w:r>
    </w:p>
    <w:p w:rsidR="00000000" w:rsidDel="00000000" w:rsidP="00000000" w:rsidRDefault="00000000" w:rsidRPr="00000000" w14:paraId="0000006B">
      <w:pPr>
        <w:pStyle w:val="Heading3"/>
        <w:rPr/>
      </w:pPr>
      <w:bookmarkStart w:colFirst="0" w:colLast="0" w:name="_heading=h.tyjcwt" w:id="5"/>
      <w:bookmarkEnd w:id="5"/>
      <w:r w:rsidDel="00000000" w:rsidR="00000000" w:rsidRPr="00000000">
        <w:rPr>
          <w:rtl w:val="0"/>
        </w:rPr>
        <w:t xml:space="preserve">1.1.1. Análisis predial del área protegida.</w:t>
      </w:r>
    </w:p>
    <w:p w:rsidR="00000000" w:rsidDel="00000000" w:rsidP="00000000" w:rsidRDefault="00000000" w:rsidRPr="00000000" w14:paraId="0000006C">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análisis predial incluye los siguientes aspectos: Número de predios su tamaño, distribución con relación a la zonificación del área protegida (preservación, restauración, uso sostenible y uso público).Con relación a la Unidad Agrícola Familiar, para los municipios de </w:t>
      </w: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Balboa, La Celia y La Virginia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ubicados en la zona relativamente homogénea No 4, según la potencialidad productiva: agrícola es de 5 a 10 ha y mixta o ganadera de 10 a 15 ha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rsidR="00000000" w:rsidDel="00000000" w:rsidP="00000000" w:rsidRDefault="00000000" w:rsidRPr="00000000" w14:paraId="0000006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F">
      <w:pPr>
        <w:rPr>
          <w:rFonts w:ascii="Arial Narrow" w:cs="Arial Narrow" w:eastAsia="Arial Narrow" w:hAnsi="Arial Narrow"/>
          <w:b w:val="1"/>
          <w:sz w:val="24"/>
          <w:szCs w:val="24"/>
        </w:rPr>
      </w:pPr>
      <w:r w:rsidDel="00000000" w:rsidR="00000000" w:rsidRPr="00000000">
        <w:rPr/>
        <w:drawing>
          <wp:inline distB="0" distT="0" distL="0" distR="0">
            <wp:extent cx="5876925" cy="2174875"/>
            <wp:docPr id="739"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dy6vkm" w:id="6"/>
      <w:bookmarkEnd w:id="6"/>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Grafico 1. Número de hectáreas y predios por tipo de zona</w:t>
      </w:r>
      <w:r w:rsidDel="00000000" w:rsidR="00000000" w:rsidRPr="00000000">
        <w:rPr>
          <w:rtl w:val="0"/>
        </w:rPr>
      </w:r>
    </w:p>
    <w:p w:rsidR="00000000" w:rsidDel="00000000" w:rsidP="00000000" w:rsidRDefault="00000000" w:rsidRPr="00000000" w14:paraId="00000071">
      <w:pPr>
        <w:jc w:val="both"/>
        <w:rPr>
          <w:rFonts w:ascii="Arial Narrow" w:cs="Arial Narrow" w:eastAsia="Arial Narrow" w:hAnsi="Arial Narrow"/>
          <w:sz w:val="24"/>
          <w:szCs w:val="24"/>
        </w:rPr>
      </w:pPr>
      <w:bookmarkStart w:colFirst="0" w:colLast="0" w:name="_heading=h.1t3h5sf" w:id="7"/>
      <w:bookmarkEnd w:id="7"/>
      <w:r w:rsidDel="00000000" w:rsidR="00000000" w:rsidRPr="00000000">
        <w:rPr>
          <w:rFonts w:ascii="Arial Narrow" w:cs="Arial Narrow" w:eastAsia="Arial Narrow" w:hAnsi="Arial Narrow"/>
          <w:sz w:val="24"/>
          <w:szCs w:val="24"/>
          <w:rtl w:val="0"/>
        </w:rPr>
        <w:t xml:space="preserve">Las zonas de uso sostenible para el desarrollo y la biodiversidad son las que ocupan la mayor parte del área con un total de 90 ha y 47 predios. En tercer lugar, se encuentra la zona de restauración con 21 ha y 11 predios, seguido de la zona de preservación la cual posee 20 ha y 18 predios dentro del área protegida.</w:t>
      </w:r>
    </w:p>
    <w:p w:rsidR="00000000" w:rsidDel="00000000" w:rsidP="00000000" w:rsidRDefault="00000000" w:rsidRPr="00000000" w14:paraId="00000072">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3">
      <w:pPr>
        <w:tabs>
          <w:tab w:val="right" w:pos="8838"/>
        </w:tabs>
        <w:jc w:val="center"/>
        <w:rPr>
          <w:rFonts w:ascii="Arial Narrow" w:cs="Arial Narrow" w:eastAsia="Arial Narrow" w:hAnsi="Arial Narrow"/>
          <w:sz w:val="24"/>
          <w:szCs w:val="24"/>
        </w:rPr>
      </w:pPr>
      <w:r w:rsidDel="00000000" w:rsidR="00000000" w:rsidRPr="00000000">
        <w:rPr/>
        <w:drawing>
          <wp:inline distB="0" distT="0" distL="0" distR="0">
            <wp:extent cx="5130800" cy="2216150"/>
            <wp:docPr id="741"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4d34og8" w:id="8"/>
      <w:bookmarkEnd w:id="8"/>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Grafico 2. Tamaño de los predios por rango en hectáreas en el AR Alto del Rey</w:t>
      </w:r>
      <w:r w:rsidDel="00000000" w:rsidR="00000000" w:rsidRPr="00000000">
        <w:rPr>
          <w:rtl w:val="0"/>
        </w:rPr>
      </w:r>
    </w:p>
    <w:p w:rsidR="00000000" w:rsidDel="00000000" w:rsidP="00000000" w:rsidRDefault="00000000" w:rsidRPr="00000000" w14:paraId="00000075">
      <w:pPr>
        <w:jc w:val="both"/>
        <w:rPr>
          <w:rFonts w:ascii="Arial Narrow" w:cs="Arial Narrow" w:eastAsia="Arial Narrow" w:hAnsi="Arial Narrow"/>
          <w:sz w:val="24"/>
          <w:szCs w:val="24"/>
        </w:rPr>
      </w:pPr>
      <w:bookmarkStart w:colFirst="0" w:colLast="0" w:name="_heading=h.2s8eyo1" w:id="9"/>
      <w:bookmarkEnd w:id="9"/>
      <w:r w:rsidDel="00000000" w:rsidR="00000000" w:rsidRPr="00000000">
        <w:rPr>
          <w:rFonts w:ascii="Arial Narrow" w:cs="Arial Narrow" w:eastAsia="Arial Narrow" w:hAnsi="Arial Narrow"/>
          <w:sz w:val="24"/>
          <w:szCs w:val="24"/>
          <w:rtl w:val="0"/>
        </w:rPr>
        <w:t xml:space="preserve">Como sucede con casi todas las áreas protegidas del Sistema Departamental de Áreas Protegidas, en el Área de Recreación Alto del Rey la mayoría de los predios se encuentran en un rango de 0 a 10 hectáreas.  </w:t>
      </w:r>
    </w:p>
    <w:p w:rsidR="00000000" w:rsidDel="00000000" w:rsidP="00000000" w:rsidRDefault="00000000" w:rsidRPr="00000000" w14:paraId="00000076">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7">
      <w:pPr>
        <w:jc w:val="center"/>
        <w:rPr>
          <w:rFonts w:ascii="Arial Narrow" w:cs="Arial Narrow" w:eastAsia="Arial Narrow" w:hAnsi="Arial Narrow"/>
          <w:sz w:val="24"/>
          <w:szCs w:val="24"/>
        </w:rPr>
      </w:pPr>
      <w:r w:rsidDel="00000000" w:rsidR="00000000" w:rsidRPr="00000000">
        <w:rPr/>
        <w:drawing>
          <wp:inline distB="0" distT="0" distL="0" distR="0">
            <wp:extent cx="3994150" cy="2143125"/>
            <wp:docPr id="740"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7dp8vu" w:id="10"/>
      <w:bookmarkEnd w:id="10"/>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Grafico 3. Tamaño de los predios por rango de hectáreas con relación al UAF del municipio de Balboa</w:t>
      </w:r>
      <w:r w:rsidDel="00000000" w:rsidR="00000000" w:rsidRPr="00000000">
        <w:rPr>
          <w:rtl w:val="0"/>
        </w:rPr>
      </w:r>
    </w:p>
    <w:p w:rsidR="00000000" w:rsidDel="00000000" w:rsidP="00000000" w:rsidRDefault="00000000" w:rsidRPr="00000000" w14:paraId="00000079">
      <w:pPr>
        <w:jc w:val="both"/>
        <w:rPr>
          <w:rFonts w:ascii="Arial Narrow" w:cs="Arial Narrow" w:eastAsia="Arial Narrow" w:hAnsi="Arial Narrow"/>
          <w:b w:val="1"/>
          <w:sz w:val="24"/>
          <w:szCs w:val="24"/>
        </w:rPr>
      </w:pPr>
      <w:bookmarkStart w:colFirst="0" w:colLast="0" w:name="_heading=h.3rdcrjn" w:id="11"/>
      <w:bookmarkEnd w:id="11"/>
      <w:r w:rsidDel="00000000" w:rsidR="00000000" w:rsidRPr="00000000">
        <w:rPr>
          <w:rFonts w:ascii="Arial Narrow" w:cs="Arial Narrow" w:eastAsia="Arial Narrow" w:hAnsi="Arial Narrow"/>
          <w:sz w:val="24"/>
          <w:szCs w:val="24"/>
          <w:rtl w:val="0"/>
        </w:rPr>
        <w:t xml:space="preserve">Del total de los predios se detalla el rango de 0 a 10 ha. La mayoría de estos se encuentran entre las 0 y 4 ha (23 predios), para lo cual el valor de referencia de la Unidad Agrícola Familiar es 5 a 10 ha. </w:t>
      </w:r>
      <w:r w:rsidDel="00000000" w:rsidR="00000000" w:rsidRPr="00000000">
        <w:rPr>
          <w:rtl w:val="0"/>
        </w:rPr>
      </w:r>
    </w:p>
    <w:p w:rsidR="00000000" w:rsidDel="00000000" w:rsidP="00000000" w:rsidRDefault="00000000" w:rsidRPr="00000000" w14:paraId="0000007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B">
      <w:pPr>
        <w:jc w:val="center"/>
        <w:rPr>
          <w:rFonts w:ascii="Arial Narrow" w:cs="Arial Narrow" w:eastAsia="Arial Narrow" w:hAnsi="Arial Narrow"/>
          <w:sz w:val="24"/>
          <w:szCs w:val="24"/>
        </w:rPr>
      </w:pPr>
      <w:r w:rsidDel="00000000" w:rsidR="00000000" w:rsidRPr="00000000">
        <w:rPr/>
        <w:drawing>
          <wp:inline distB="0" distT="0" distL="0" distR="0">
            <wp:extent cx="6086475" cy="2752725"/>
            <wp:docPr id="743"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6in1rg" w:id="12"/>
      <w:bookmarkEnd w:id="12"/>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Grafico 4. Rangos en porcentaje y hectáreas de los predios al interior del AR Alto del Rey</w:t>
      </w:r>
      <w:r w:rsidDel="00000000" w:rsidR="00000000" w:rsidRPr="00000000">
        <w:rPr>
          <w:rtl w:val="0"/>
        </w:rPr>
      </w:r>
    </w:p>
    <w:p w:rsidR="00000000" w:rsidDel="00000000" w:rsidP="00000000" w:rsidRDefault="00000000" w:rsidRPr="00000000" w14:paraId="0000007D">
      <w:pPr>
        <w:jc w:val="both"/>
        <w:rPr>
          <w:rFonts w:ascii="Arial Narrow" w:cs="Arial Narrow" w:eastAsia="Arial Narrow" w:hAnsi="Arial Narrow"/>
          <w:sz w:val="24"/>
          <w:szCs w:val="24"/>
        </w:rPr>
      </w:pPr>
      <w:bookmarkStart w:colFirst="0" w:colLast="0" w:name="_heading=h.lnxbz9" w:id="13"/>
      <w:bookmarkEnd w:id="13"/>
      <w:r w:rsidDel="00000000" w:rsidR="00000000" w:rsidRPr="00000000">
        <w:rPr>
          <w:rFonts w:ascii="Arial Narrow" w:cs="Arial Narrow" w:eastAsia="Arial Narrow" w:hAnsi="Arial Narrow"/>
          <w:sz w:val="24"/>
          <w:szCs w:val="24"/>
          <w:rtl w:val="0"/>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Área de Recreación Alto del Rey los valores más representativos están en los rangos porcentuales de superficie al interior del área protegida: 10 predios tienen entre 0 y 10 % de su área al interior del área protegida y 4 predios tienen entre el 10 y 20% de su área al interior.</w:t>
      </w:r>
    </w:p>
    <w:p w:rsidR="00000000" w:rsidDel="00000000" w:rsidP="00000000" w:rsidRDefault="00000000" w:rsidRPr="00000000" w14:paraId="0000007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al tamaño de los 37 predios que se encuentran al interior o parcialmente en el área protegida se tiene que: 24 predios tienen entre 0 y 10 ha del total de su área dentro del Área de Recreación Alto del Rey y 4 predios tienen entre 10 y 20 ha al interior del Parque.</w:t>
      </w:r>
    </w:p>
    <w:p w:rsidR="00000000" w:rsidDel="00000000" w:rsidP="00000000" w:rsidRDefault="00000000" w:rsidRPr="00000000" w14:paraId="0000008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1">
      <w:pPr>
        <w:jc w:val="center"/>
        <w:rPr>
          <w:rFonts w:ascii="Arial Narrow" w:cs="Arial Narrow" w:eastAsia="Arial Narrow" w:hAnsi="Arial Narrow"/>
          <w:sz w:val="24"/>
          <w:szCs w:val="24"/>
        </w:rPr>
      </w:pPr>
      <w:r w:rsidDel="00000000" w:rsidR="00000000" w:rsidRPr="00000000">
        <w:rPr/>
        <w:drawing>
          <wp:inline distB="0" distT="0" distL="0" distR="0">
            <wp:extent cx="4572000" cy="2743200"/>
            <wp:docPr id="742"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5nkun2" w:id="14"/>
      <w:bookmarkEnd w:id="1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5. Porcentaje de los predios ubicados total y parcialmente al interior del AR Alto del Rey</w:t>
      </w:r>
      <w:r w:rsidDel="00000000" w:rsidR="00000000" w:rsidRPr="00000000">
        <w:rPr>
          <w:rtl w:val="0"/>
        </w:rPr>
      </w:r>
    </w:p>
    <w:p w:rsidR="00000000" w:rsidDel="00000000" w:rsidP="00000000" w:rsidRDefault="00000000" w:rsidRPr="00000000" w14:paraId="00000083">
      <w:pPr>
        <w:jc w:val="both"/>
        <w:rPr>
          <w:rFonts w:ascii="Arial Narrow" w:cs="Arial Narrow" w:eastAsia="Arial Narrow" w:hAnsi="Arial Narrow"/>
          <w:sz w:val="24"/>
          <w:szCs w:val="24"/>
        </w:rPr>
      </w:pPr>
      <w:bookmarkStart w:colFirst="0" w:colLast="0" w:name="_heading=h.1ksv4uv" w:id="15"/>
      <w:bookmarkEnd w:id="15"/>
      <w:r w:rsidDel="00000000" w:rsidR="00000000" w:rsidRPr="00000000">
        <w:rPr>
          <w:rFonts w:ascii="Arial Narrow" w:cs="Arial Narrow" w:eastAsia="Arial Narrow" w:hAnsi="Arial Narrow"/>
          <w:sz w:val="24"/>
          <w:szCs w:val="24"/>
          <w:rtl w:val="0"/>
        </w:rPr>
        <w:t xml:space="preserve">De los 37 predios que se encuentran en el Área de Recreación Alto del Rey, 9 correspondientes al 24% tienen el total de su área dentro del área protegida y 28 predios correspondientes al 76% tienen área parcialmente en el Área de Recreación Alto del Rey.</w:t>
      </w:r>
    </w:p>
    <w:p w:rsidR="00000000" w:rsidDel="00000000" w:rsidP="00000000" w:rsidRDefault="00000000" w:rsidRPr="00000000" w14:paraId="0000008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5">
      <w:pPr>
        <w:pStyle w:val="Heading3"/>
        <w:rPr/>
      </w:pPr>
      <w:bookmarkStart w:colFirst="0" w:colLast="0" w:name="_heading=h.44sinio" w:id="16"/>
      <w:bookmarkEnd w:id="16"/>
      <w:r w:rsidDel="00000000" w:rsidR="00000000" w:rsidRPr="00000000">
        <w:rPr>
          <w:rtl w:val="0"/>
        </w:rPr>
        <w:t xml:space="preserve">1.1.2. Cambio Climático</w:t>
      </w:r>
    </w:p>
    <w:p w:rsidR="00000000" w:rsidDel="00000000" w:rsidP="00000000" w:rsidRDefault="00000000" w:rsidRPr="00000000" w14:paraId="00000086">
      <w:pPr>
        <w:spacing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8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w:t>
      </w:r>
      <w:r w:rsidDel="00000000" w:rsidR="00000000" w:rsidRPr="00000000">
        <w:rPr>
          <w:rFonts w:ascii="Arial Narrow" w:cs="Arial Narrow" w:eastAsia="Arial Narrow" w:hAnsi="Arial Narrow"/>
          <w:sz w:val="24"/>
          <w:szCs w:val="24"/>
          <w:rtl w:val="0"/>
        </w:rPr>
        <w:t xml:space="preserve"> el Área de Recreación Alto del Rey, </w:t>
      </w:r>
      <w:r w:rsidDel="00000000" w:rsidR="00000000" w:rsidRPr="00000000">
        <w:rPr>
          <w:rFonts w:ascii="Arial Narrow" w:cs="Arial Narrow" w:eastAsia="Arial Narrow" w:hAnsi="Arial Narrow"/>
          <w:color w:val="000000"/>
          <w:sz w:val="24"/>
          <w:szCs w:val="24"/>
          <w:rtl w:val="0"/>
        </w:rPr>
        <w:t xml:space="preserve">con el fin de observar los aspectos que aumentan la susceptibilidad a impacto asociados con eventos relacionados con el clima.</w:t>
      </w:r>
    </w:p>
    <w:p w:rsidR="00000000" w:rsidDel="00000000" w:rsidP="00000000" w:rsidRDefault="00000000" w:rsidRPr="00000000" w14:paraId="00000088">
      <w:pPr>
        <w:tabs>
          <w:tab w:val="left" w:pos="567"/>
        </w:tabs>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Condiciones climáticas</w:t>
      </w:r>
    </w:p>
    <w:p w:rsidR="00000000" w:rsidDel="00000000" w:rsidP="00000000" w:rsidRDefault="00000000" w:rsidRPr="00000000" w14:paraId="0000008A">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Arial Narrow" w:cs="Arial Narrow" w:eastAsia="Arial Narrow" w:hAnsi="Arial Narrow"/>
          <w:color w:val="000000"/>
          <w:sz w:val="24"/>
          <w:szCs w:val="24"/>
          <w:highlight w:val="white"/>
          <w:rtl w:val="0"/>
        </w:rPr>
        <w:t xml:space="preserve">Las variables atmosféricas como la temperatura y la precipitación, son unos de los elementos climáticos que aportan datos estadísticos relevantes para caracterizar un lugar determinado, identificar sus cambios constituye un factor fundamental para determinar las afectaciones ocurridas o que puedan ocurrir en el área protegida y que estén asociadas al clima.</w:t>
      </w:r>
      <w:r w:rsidDel="00000000" w:rsidR="00000000" w:rsidRPr="00000000">
        <w:rPr>
          <w:rtl w:val="0"/>
        </w:rPr>
      </w:r>
    </w:p>
    <w:p w:rsidR="00000000" w:rsidDel="00000000" w:rsidP="00000000" w:rsidRDefault="00000000" w:rsidRPr="00000000" w14:paraId="0000008C">
      <w:pPr>
        <w:jc w:val="both"/>
        <w:rPr>
          <w:rFonts w:ascii="Arial Narrow" w:cs="Arial Narrow" w:eastAsia="Arial Narrow" w:hAnsi="Arial Narrow"/>
          <w:color w:val="000000"/>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Arial Narrow" w:cs="Arial Narrow" w:eastAsia="Arial Narrow" w:hAnsi="Arial Narrow"/>
          <w:color w:val="000000"/>
          <w:sz w:val="24"/>
          <w:szCs w:val="24"/>
          <w:rtl w:val="0"/>
        </w:rPr>
        <w:t xml:space="preserve">La estación meteorológica de “La Celia” de CENICAFE, y la estación “Patio Bonito” de CARDER, de donde se tomaron datos sobre precipitación y temperatura, no se encuentran dentro del área de influencia del </w:t>
      </w:r>
      <w:r w:rsidDel="00000000" w:rsidR="00000000" w:rsidRPr="00000000">
        <w:rPr>
          <w:rFonts w:ascii="Arial Narrow" w:cs="Arial Narrow" w:eastAsia="Arial Narrow" w:hAnsi="Arial Narrow"/>
          <w:sz w:val="24"/>
          <w:szCs w:val="24"/>
          <w:rtl w:val="0"/>
        </w:rPr>
        <w:t xml:space="preserve">Área de Recreación Alto del Rey,</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color w:val="000000"/>
          <w:sz w:val="24"/>
          <w:szCs w:val="24"/>
          <w:rtl w:val="0"/>
        </w:rPr>
        <w:t xml:space="preserve">pero por su cercanía, y por conservar la misma latitud, la misma vertiente de la cordillera occidental, se considera que los datos se pueden tomar para el análisis como de referencia.</w:t>
      </w:r>
    </w:p>
    <w:p w:rsidR="00000000" w:rsidDel="00000000" w:rsidP="00000000" w:rsidRDefault="00000000" w:rsidRPr="00000000" w14:paraId="0000008D">
      <w:pPr>
        <w:jc w:val="both"/>
        <w:rPr>
          <w:rFonts w:ascii="Arial Narrow" w:cs="Arial Narrow" w:eastAsia="Arial Narrow" w:hAnsi="Arial Narrow"/>
          <w:color w:val="000000"/>
          <w:sz w:val="24"/>
          <w:szCs w:val="24"/>
        </w:rPr>
      </w:pPr>
      <w:r w:rsidDel="00000000" w:rsidR="00000000" w:rsidRPr="00000000">
        <w:rPr>
          <w:rtl w:val="0"/>
        </w:rPr>
      </w:r>
    </w:p>
    <w:tbl>
      <w:tblPr>
        <w:tblStyle w:val="Table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8"/>
        <w:gridCol w:w="1046"/>
        <w:gridCol w:w="2172"/>
        <w:gridCol w:w="1388"/>
        <w:gridCol w:w="3174"/>
        <w:tblGridChange w:id="0">
          <w:tblGrid>
            <w:gridCol w:w="1048"/>
            <w:gridCol w:w="1046"/>
            <w:gridCol w:w="2172"/>
            <w:gridCol w:w="1388"/>
            <w:gridCol w:w="3174"/>
          </w:tblGrid>
        </w:tblGridChange>
      </w:tblGrid>
      <w:tr>
        <w:tc>
          <w:tcPr>
            <w:shd w:fill="a8d08d" w:val="clear"/>
            <w:tcMar>
              <w:top w:w="0.0" w:type="dxa"/>
              <w:left w:w="108.0" w:type="dxa"/>
              <w:bottom w:w="0.0" w:type="dxa"/>
              <w:right w:w="108.0" w:type="dxa"/>
            </w:tcMar>
            <w:vAlign w:val="center"/>
          </w:tcPr>
          <w:p w:rsidR="00000000" w:rsidDel="00000000" w:rsidP="00000000" w:rsidRDefault="00000000" w:rsidRPr="00000000" w14:paraId="0000008E">
            <w:pPr>
              <w:spacing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b w:val="1"/>
                <w:color w:val="000000"/>
                <w:sz w:val="20"/>
                <w:szCs w:val="20"/>
                <w:rtl w:val="0"/>
              </w:rPr>
              <w:t xml:space="preserve">Estación</w:t>
            </w:r>
            <w:r w:rsidDel="00000000" w:rsidR="00000000" w:rsidRPr="00000000">
              <w:rPr>
                <w:rtl w:val="0"/>
              </w:rPr>
            </w:r>
          </w:p>
        </w:tc>
        <w:tc>
          <w:tcPr>
            <w:shd w:fill="a8d08d" w:val="clear"/>
            <w:tcMar>
              <w:top w:w="0.0" w:type="dxa"/>
              <w:left w:w="108.0" w:type="dxa"/>
              <w:bottom w:w="0.0" w:type="dxa"/>
              <w:right w:w="108.0" w:type="dxa"/>
            </w:tcMar>
            <w:vAlign w:val="center"/>
          </w:tcPr>
          <w:p w:rsidR="00000000" w:rsidDel="00000000" w:rsidP="00000000" w:rsidRDefault="00000000" w:rsidRPr="00000000" w14:paraId="0000008F">
            <w:pPr>
              <w:spacing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b w:val="1"/>
                <w:color w:val="000000"/>
                <w:sz w:val="20"/>
                <w:szCs w:val="20"/>
                <w:rtl w:val="0"/>
              </w:rPr>
              <w:t xml:space="preserve">Fuente</w:t>
            </w:r>
            <w:r w:rsidDel="00000000" w:rsidR="00000000" w:rsidRPr="00000000">
              <w:rPr>
                <w:rtl w:val="0"/>
              </w:rPr>
            </w:r>
          </w:p>
        </w:tc>
        <w:tc>
          <w:tcPr>
            <w:shd w:fill="a8d08d" w:val="clear"/>
            <w:tcMar>
              <w:top w:w="0.0" w:type="dxa"/>
              <w:left w:w="108.0" w:type="dxa"/>
              <w:bottom w:w="0.0" w:type="dxa"/>
              <w:right w:w="108.0" w:type="dxa"/>
            </w:tcMar>
            <w:vAlign w:val="center"/>
          </w:tcPr>
          <w:p w:rsidR="00000000" w:rsidDel="00000000" w:rsidP="00000000" w:rsidRDefault="00000000" w:rsidRPr="00000000" w14:paraId="00000090">
            <w:pPr>
              <w:spacing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b w:val="1"/>
                <w:color w:val="000000"/>
                <w:sz w:val="20"/>
                <w:szCs w:val="20"/>
                <w:rtl w:val="0"/>
              </w:rPr>
              <w:t xml:space="preserve">Información</w:t>
            </w:r>
            <w:r w:rsidDel="00000000" w:rsidR="00000000" w:rsidRPr="00000000">
              <w:rPr>
                <w:rtl w:val="0"/>
              </w:rPr>
            </w:r>
          </w:p>
        </w:tc>
        <w:tc>
          <w:tcPr>
            <w:shd w:fill="a8d08d" w:val="clear"/>
            <w:tcMar>
              <w:top w:w="0.0" w:type="dxa"/>
              <w:left w:w="108.0" w:type="dxa"/>
              <w:bottom w:w="0.0" w:type="dxa"/>
              <w:right w:w="108.0" w:type="dxa"/>
            </w:tcMar>
            <w:vAlign w:val="center"/>
          </w:tcPr>
          <w:p w:rsidR="00000000" w:rsidDel="00000000" w:rsidP="00000000" w:rsidRDefault="00000000" w:rsidRPr="00000000" w14:paraId="00000091">
            <w:pPr>
              <w:spacing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b w:val="1"/>
                <w:color w:val="000000"/>
                <w:sz w:val="20"/>
                <w:szCs w:val="20"/>
                <w:rtl w:val="0"/>
              </w:rPr>
              <w:t xml:space="preserve">Ubicación msnm</w:t>
            </w:r>
            <w:r w:rsidDel="00000000" w:rsidR="00000000" w:rsidRPr="00000000">
              <w:rPr>
                <w:rtl w:val="0"/>
              </w:rPr>
            </w:r>
          </w:p>
        </w:tc>
        <w:tc>
          <w:tcPr>
            <w:shd w:fill="a8d08d" w:val="clear"/>
            <w:tcMar>
              <w:top w:w="0.0" w:type="dxa"/>
              <w:left w:w="108.0" w:type="dxa"/>
              <w:bottom w:w="0.0" w:type="dxa"/>
              <w:right w:w="108.0" w:type="dxa"/>
            </w:tcMar>
            <w:vAlign w:val="center"/>
          </w:tcPr>
          <w:p w:rsidR="00000000" w:rsidDel="00000000" w:rsidP="00000000" w:rsidRDefault="00000000" w:rsidRPr="00000000" w14:paraId="00000092">
            <w:pPr>
              <w:spacing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b w:val="1"/>
                <w:color w:val="000000"/>
                <w:sz w:val="20"/>
                <w:szCs w:val="20"/>
                <w:rtl w:val="0"/>
              </w:rPr>
              <w:t xml:space="preserve">Ubicación Alto Del Rey (msnm)</w:t>
            </w:r>
            <w:r w:rsidDel="00000000" w:rsidR="00000000" w:rsidRPr="00000000">
              <w:rPr>
                <w:rtl w:val="0"/>
              </w:rPr>
            </w:r>
          </w:p>
        </w:tc>
      </w:tr>
      <w:tr>
        <w:tc>
          <w:tcPr>
            <w:shd w:fill="ffffff" w:val="clear"/>
            <w:tcMar>
              <w:top w:w="0.0" w:type="dxa"/>
              <w:left w:w="108.0" w:type="dxa"/>
              <w:bottom w:w="0.0" w:type="dxa"/>
              <w:right w:w="108.0" w:type="dxa"/>
            </w:tcMar>
          </w:tcPr>
          <w:p w:rsidR="00000000" w:rsidDel="00000000" w:rsidP="00000000" w:rsidRDefault="00000000" w:rsidRPr="00000000" w14:paraId="00000093">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La Celia</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94">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CENICAFE</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95">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Desde junio del año 2016- 2018</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96">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1720</w:t>
            </w:r>
            <w:r w:rsidDel="00000000" w:rsidR="00000000" w:rsidRPr="00000000">
              <w:rPr>
                <w:rtl w:val="0"/>
              </w:rPr>
            </w:r>
          </w:p>
        </w:tc>
        <w:tc>
          <w:tcPr>
            <w:vMerge w:val="restart"/>
            <w:tcMar>
              <w:top w:w="0.0" w:type="dxa"/>
              <w:left w:w="108.0" w:type="dxa"/>
              <w:bottom w:w="0.0" w:type="dxa"/>
              <w:right w:w="108.0" w:type="dxa"/>
            </w:tcMar>
            <w:vAlign w:val="center"/>
          </w:tcPr>
          <w:p w:rsidR="00000000" w:rsidDel="00000000" w:rsidP="00000000" w:rsidRDefault="00000000" w:rsidRPr="00000000" w14:paraId="00000097">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Rango altitudinal de Alto del Rey 1350 -1475 msnm</w:t>
            </w:r>
            <w:r w:rsidDel="00000000" w:rsidR="00000000" w:rsidRPr="00000000">
              <w:rPr>
                <w:rtl w:val="0"/>
              </w:rPr>
            </w:r>
          </w:p>
          <w:p w:rsidR="00000000" w:rsidDel="00000000" w:rsidP="00000000" w:rsidRDefault="00000000" w:rsidRPr="00000000" w14:paraId="00000098">
            <w:pPr>
              <w:spacing w:line="240" w:lineRule="auto"/>
              <w:rPr>
                <w:rFonts w:ascii="Times New Roman" w:cs="Times New Roman" w:eastAsia="Times New Roman" w:hAnsi="Times New Roman"/>
                <w:sz w:val="20"/>
                <w:szCs w:val="20"/>
              </w:rPr>
            </w:pPr>
            <w:r w:rsidDel="00000000" w:rsidR="00000000" w:rsidRPr="00000000">
              <w:rPr>
                <w:rtl w:val="0"/>
              </w:rPr>
            </w:r>
          </w:p>
        </w:tc>
      </w:tr>
      <w:tr>
        <w:tc>
          <w:tcPr>
            <w:shd w:fill="ffffff" w:val="clear"/>
            <w:tcMar>
              <w:top w:w="0.0" w:type="dxa"/>
              <w:left w:w="108.0" w:type="dxa"/>
              <w:bottom w:w="0.0" w:type="dxa"/>
              <w:right w:w="108.0" w:type="dxa"/>
            </w:tcMar>
          </w:tcPr>
          <w:p w:rsidR="00000000" w:rsidDel="00000000" w:rsidP="00000000" w:rsidRDefault="00000000" w:rsidRPr="00000000" w14:paraId="00000099">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Patio Bonito</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9A">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CARDER</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9B">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2018 2020</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9C">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1616</w:t>
            </w:r>
            <w:r w:rsidDel="00000000" w:rsidR="00000000" w:rsidRPr="00000000">
              <w:rPr>
                <w:rtl w:val="0"/>
              </w:rPr>
            </w:r>
          </w:p>
        </w:tc>
        <w:tc>
          <w:tcPr>
            <w:vMerge w:val="continue"/>
            <w:tcMar>
              <w:top w:w="0.0" w:type="dxa"/>
              <w:left w:w="108.0" w:type="dxa"/>
              <w:bottom w:w="0.0" w:type="dxa"/>
              <w:right w:w="108.0" w:type="dxa"/>
            </w:tcMar>
            <w:vAlign w:val="cente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9E">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F">
      <w:pPr>
        <w:spacing w:line="240" w:lineRule="auto"/>
        <w:jc w:val="both"/>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i w:val="1"/>
          <w:color w:val="000000"/>
          <w:sz w:val="24"/>
          <w:szCs w:val="24"/>
          <w:rtl w:val="0"/>
        </w:rPr>
        <w:t xml:space="preserve">Datos de temperatura </w:t>
      </w:r>
    </w:p>
    <w:p w:rsidR="00000000" w:rsidDel="00000000" w:rsidP="00000000" w:rsidRDefault="00000000" w:rsidRPr="00000000" w14:paraId="000000A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43089" cy="1324323"/>
            <wp:effectExtent b="0" l="0" r="0" t="0"/>
            <wp:docPr descr="https://lh3.googleusercontent.com/goolORcl4M2iPRHa-vYE-Q6S_BTD4wPukRwJ_iQZTFGO5cQbnn5CjbhJ6mbNz0cqEK8svXmQflXuzmYCuh0pY5kuJHx6iTu1eX7IGcoUinl9Mj29vAfowV3x85EdngDKWRINySA" id="763" name="image17.png"/>
            <a:graphic>
              <a:graphicData uri="http://schemas.openxmlformats.org/drawingml/2006/picture">
                <pic:pic>
                  <pic:nvPicPr>
                    <pic:cNvPr descr="https://lh3.googleusercontent.com/goolORcl4M2iPRHa-vYE-Q6S_BTD4wPukRwJ_iQZTFGO5cQbnn5CjbhJ6mbNz0cqEK8svXmQflXuzmYCuh0pY5kuJHx6iTu1eX7IGcoUinl9Mj29vAfowV3x85EdngDKWRINySA" id="0" name="image17.png"/>
                    <pic:cNvPicPr preferRelativeResize="0"/>
                  </pic:nvPicPr>
                  <pic:blipFill>
                    <a:blip r:embed="rId15"/>
                    <a:srcRect b="18587" l="6564" r="6424" t="45026"/>
                    <a:stretch>
                      <a:fillRect/>
                    </a:stretch>
                  </pic:blipFill>
                  <pic:spPr>
                    <a:xfrm>
                      <a:off x="0" y="0"/>
                      <a:ext cx="5743089" cy="132432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jxsxqh" w:id="17"/>
      <w:bookmarkEnd w:id="17"/>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2. Temperatura promedio mensual para el periodo 2016 – 2018 en la Estación La Celia</w:t>
      </w:r>
      <w:r w:rsidDel="00000000" w:rsidR="00000000" w:rsidRPr="00000000">
        <w:rPr>
          <w:rtl w:val="0"/>
        </w:rPr>
      </w:r>
    </w:p>
    <w:p w:rsidR="00000000" w:rsidDel="00000000" w:rsidP="00000000" w:rsidRDefault="00000000" w:rsidRPr="00000000" w14:paraId="000000A2">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
        <w:tblW w:w="8263.0" w:type="dxa"/>
        <w:jc w:val="left"/>
        <w:tblInd w:w="0.0" w:type="dxa"/>
        <w:tblLayout w:type="fixed"/>
        <w:tblLook w:val="0400"/>
      </w:tblPr>
      <w:tblGrid>
        <w:gridCol w:w="549"/>
        <w:gridCol w:w="1282"/>
        <w:gridCol w:w="500"/>
        <w:gridCol w:w="460"/>
        <w:gridCol w:w="441"/>
        <w:gridCol w:w="460"/>
        <w:gridCol w:w="469"/>
        <w:gridCol w:w="460"/>
        <w:gridCol w:w="460"/>
        <w:gridCol w:w="460"/>
        <w:gridCol w:w="460"/>
        <w:gridCol w:w="460"/>
        <w:gridCol w:w="460"/>
        <w:gridCol w:w="445"/>
        <w:gridCol w:w="897"/>
        <w:tblGridChange w:id="0">
          <w:tblGrid>
            <w:gridCol w:w="549"/>
            <w:gridCol w:w="1282"/>
            <w:gridCol w:w="500"/>
            <w:gridCol w:w="460"/>
            <w:gridCol w:w="441"/>
            <w:gridCol w:w="460"/>
            <w:gridCol w:w="469"/>
            <w:gridCol w:w="460"/>
            <w:gridCol w:w="460"/>
            <w:gridCol w:w="460"/>
            <w:gridCol w:w="460"/>
            <w:gridCol w:w="460"/>
            <w:gridCol w:w="460"/>
            <w:gridCol w:w="445"/>
            <w:gridCol w:w="897"/>
          </w:tblGrid>
        </w:tblGridChange>
      </w:tblGrid>
      <w:tr>
        <w:trPr>
          <w:trHeight w:val="75" w:hRule="atLeast"/>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A3">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ebf7" w:val="clear"/>
            <w:tcMar>
              <w:top w:w="0.0" w:type="dxa"/>
              <w:left w:w="70.0" w:type="dxa"/>
              <w:bottom w:w="0.0" w:type="dxa"/>
              <w:right w:w="70.0" w:type="dxa"/>
            </w:tcMar>
            <w:vAlign w:val="center"/>
          </w:tcPr>
          <w:p w:rsidR="00000000" w:rsidDel="00000000" w:rsidP="00000000" w:rsidRDefault="00000000" w:rsidRPr="00000000" w14:paraId="000000A4">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Etiquetas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A5">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ene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A6">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feb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A7">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mar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A8">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abr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A9">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may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AA">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jun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AB">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jul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AC">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ago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AD">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sep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AE">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oct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AF">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nov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B0">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dic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ebf7" w:val="clear"/>
            <w:tcMar>
              <w:top w:w="0.0" w:type="dxa"/>
              <w:left w:w="70.0" w:type="dxa"/>
              <w:bottom w:w="0.0" w:type="dxa"/>
              <w:right w:w="70.0" w:type="dxa"/>
            </w:tcMar>
            <w:vAlign w:val="center"/>
          </w:tcPr>
          <w:p w:rsidR="00000000" w:rsidDel="00000000" w:rsidP="00000000" w:rsidRDefault="00000000" w:rsidRPr="00000000" w14:paraId="000000B1">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Promedio Anual </w:t>
            </w:r>
            <w:r w:rsidDel="00000000" w:rsidR="00000000" w:rsidRPr="00000000">
              <w:rPr>
                <w:rtl w:val="0"/>
              </w:rPr>
            </w:r>
          </w:p>
        </w:tc>
      </w:tr>
      <w:tr>
        <w:trPr>
          <w:trHeight w:val="152" w:hRule="atLeast"/>
        </w:trPr>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B2">
            <w:pPr>
              <w:spacing w:line="240" w:lineRule="auto"/>
              <w:jc w:val="center"/>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Año 2018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ebf7" w:val="clear"/>
            <w:tcMar>
              <w:top w:w="0.0" w:type="dxa"/>
              <w:left w:w="70.0" w:type="dxa"/>
              <w:bottom w:w="0.0" w:type="dxa"/>
              <w:right w:w="70.0" w:type="dxa"/>
            </w:tcMar>
            <w:vAlign w:val="center"/>
          </w:tcPr>
          <w:p w:rsidR="00000000" w:rsidDel="00000000" w:rsidP="00000000" w:rsidRDefault="00000000" w:rsidRPr="00000000" w14:paraId="000000B3">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Máx. de Temperatura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B4">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B5">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29,3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B6">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B7">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33,6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B8">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B9">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BA">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BB">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BC">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BD">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BE">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BF">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ebf7" w:val="clear"/>
            <w:tcMar>
              <w:top w:w="0.0" w:type="dxa"/>
              <w:left w:w="70.0" w:type="dxa"/>
              <w:bottom w:w="0.0" w:type="dxa"/>
              <w:right w:w="70.0" w:type="dxa"/>
            </w:tcMar>
            <w:vAlign w:val="center"/>
          </w:tcPr>
          <w:p w:rsidR="00000000" w:rsidDel="00000000" w:rsidP="00000000" w:rsidRDefault="00000000" w:rsidRPr="00000000" w14:paraId="000000C0">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33,6</w:t>
            </w:r>
            <w:r w:rsidDel="00000000" w:rsidR="00000000" w:rsidRPr="00000000">
              <w:rPr>
                <w:rtl w:val="0"/>
              </w:rPr>
            </w:r>
          </w:p>
        </w:tc>
      </w:tr>
      <w:tr>
        <w:trPr>
          <w:trHeight w:val="152" w:hRule="atLeast"/>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ebf7" w:val="clear"/>
            <w:tcMar>
              <w:top w:w="0.0" w:type="dxa"/>
              <w:left w:w="70.0" w:type="dxa"/>
              <w:bottom w:w="0.0" w:type="dxa"/>
              <w:right w:w="70.0" w:type="dxa"/>
            </w:tcMar>
            <w:vAlign w:val="center"/>
          </w:tcPr>
          <w:p w:rsidR="00000000" w:rsidDel="00000000" w:rsidP="00000000" w:rsidRDefault="00000000" w:rsidRPr="00000000" w14:paraId="000000C2">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Promedio de Temperatura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C3">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C4">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C5">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C6">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C7">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19,5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C8">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C9">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CA">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CB">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CC">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CD">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20,5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CE">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ebf7" w:val="clear"/>
            <w:tcMar>
              <w:top w:w="0.0" w:type="dxa"/>
              <w:left w:w="70.0" w:type="dxa"/>
              <w:bottom w:w="0.0" w:type="dxa"/>
              <w:right w:w="70.0" w:type="dxa"/>
            </w:tcMar>
            <w:vAlign w:val="center"/>
          </w:tcPr>
          <w:p w:rsidR="00000000" w:rsidDel="00000000" w:rsidP="00000000" w:rsidRDefault="00000000" w:rsidRPr="00000000" w14:paraId="000000CF">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20,4</w:t>
            </w:r>
            <w:r w:rsidDel="00000000" w:rsidR="00000000" w:rsidRPr="00000000">
              <w:rPr>
                <w:rtl w:val="0"/>
              </w:rPr>
            </w:r>
          </w:p>
        </w:tc>
      </w:tr>
      <w:tr>
        <w:trPr>
          <w:trHeight w:val="152" w:hRule="atLeast"/>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ebf7" w:val="clear"/>
            <w:tcMar>
              <w:top w:w="0.0" w:type="dxa"/>
              <w:left w:w="70.0" w:type="dxa"/>
              <w:bottom w:w="0.0" w:type="dxa"/>
              <w:right w:w="70.0" w:type="dxa"/>
            </w:tcMar>
            <w:vAlign w:val="center"/>
          </w:tcPr>
          <w:p w:rsidR="00000000" w:rsidDel="00000000" w:rsidP="00000000" w:rsidRDefault="00000000" w:rsidRPr="00000000" w14:paraId="000000D1">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Mín. de Temperatura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D2">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D3">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D4">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D5">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D6">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D7">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D8">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D9">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DA">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DB">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70.0" w:type="dxa"/>
              <w:bottom w:w="0.0" w:type="dxa"/>
              <w:right w:w="70.0" w:type="dxa"/>
            </w:tcMar>
            <w:vAlign w:val="center"/>
          </w:tcPr>
          <w:p w:rsidR="00000000" w:rsidDel="00000000" w:rsidP="00000000" w:rsidRDefault="00000000" w:rsidRPr="00000000" w14:paraId="000000DC">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16,8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70.0" w:type="dxa"/>
              <w:bottom w:w="0.0" w:type="dxa"/>
              <w:right w:w="70.0" w:type="dxa"/>
            </w:tcMar>
            <w:vAlign w:val="center"/>
          </w:tcPr>
          <w:p w:rsidR="00000000" w:rsidDel="00000000" w:rsidP="00000000" w:rsidRDefault="00000000" w:rsidRPr="00000000" w14:paraId="000000DD">
            <w:pPr>
              <w:spacing w:line="240" w:lineRule="auto"/>
              <w:rPr>
                <w:rFonts w:ascii="Times New Roman" w:cs="Times New Roman" w:eastAsia="Times New Roman" w:hAnsi="Times New Roman"/>
                <w:sz w:val="20"/>
                <w:szCs w:val="20"/>
              </w:rPr>
            </w:pPr>
            <w:r w:rsidDel="00000000" w:rsidR="00000000" w:rsidRPr="00000000">
              <w:rPr>
                <w:rFonts w:ascii="Arial Narrow" w:cs="Arial Narrow" w:eastAsia="Arial Narrow" w:hAnsi="Arial Narrow"/>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ebf7" w:val="clear"/>
            <w:tcMar>
              <w:top w:w="0.0" w:type="dxa"/>
              <w:left w:w="70.0" w:type="dxa"/>
              <w:bottom w:w="0.0" w:type="dxa"/>
              <w:right w:w="70.0" w:type="dxa"/>
            </w:tcMar>
            <w:vAlign w:val="center"/>
          </w:tcPr>
          <w:p w:rsidR="00000000" w:rsidDel="00000000" w:rsidP="00000000" w:rsidRDefault="00000000" w:rsidRPr="00000000" w14:paraId="000000DE">
            <w:pPr>
              <w:spacing w:line="240" w:lineRule="auto"/>
              <w:jc w:val="right"/>
              <w:rPr>
                <w:rFonts w:ascii="Times New Roman" w:cs="Times New Roman" w:eastAsia="Times New Roman" w:hAnsi="Times New Roman"/>
                <w:sz w:val="20"/>
                <w:szCs w:val="20"/>
              </w:rPr>
            </w:pPr>
            <w:r w:rsidDel="00000000" w:rsidR="00000000" w:rsidRPr="00000000">
              <w:rPr>
                <w:rFonts w:ascii="Arial Narrow" w:cs="Arial Narrow" w:eastAsia="Arial Narrow" w:hAnsi="Arial Narrow"/>
                <w:b w:val="1"/>
                <w:color w:val="000000"/>
                <w:sz w:val="20"/>
                <w:szCs w:val="20"/>
                <w:rtl w:val="0"/>
              </w:rPr>
              <w:t xml:space="preserve">15</w:t>
            </w:r>
            <w:r w:rsidDel="00000000" w:rsidR="00000000" w:rsidRPr="00000000">
              <w:rPr>
                <w:rtl w:val="0"/>
              </w:rPr>
            </w:r>
          </w:p>
        </w:tc>
      </w:tr>
    </w:tbl>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3. Temperaturas para el año 2018 en la Estación Patio Bonito</w:t>
      </w: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Fonts w:ascii="Arial Narrow" w:cs="Arial Narrow" w:eastAsia="Arial Narrow" w:hAnsi="Arial Narrow"/>
          <w:color w:val="000000"/>
          <w:sz w:val="24"/>
          <w:szCs w:val="24"/>
          <w:rtl w:val="0"/>
        </w:rPr>
        <w:t xml:space="preserve">Con base en los registros de la estación La Celia (CENICAFE, 2018), se observa una temperatura promedio en los últimos 3 años de 20.77 °C.  Se reportó una temperatura máxima de 22,3°C, en agosto de 2016, registrada durante temporada seca, pero en presencia de condiciones de un fenómeno corto de la Niña. También se registra una temperatura mínima de 19,5ºC, en marzo de 2017. Las temperaturas promedio más altas se reportaron durante los meses de temporada seca de julio a septiembre y las temperaturas promedio más bajas del año se reportaron en temporada de lluvias en los meses de octubre y noviembre, con valores alrededor de los 19.8 ° C. </w:t>
      </w:r>
      <w:r w:rsidDel="00000000" w:rsidR="00000000" w:rsidRPr="00000000">
        <w:rPr>
          <w:rtl w:val="0"/>
        </w:rPr>
      </w:r>
    </w:p>
    <w:p w:rsidR="00000000" w:rsidDel="00000000" w:rsidP="00000000" w:rsidRDefault="00000000" w:rsidRPr="00000000" w14:paraId="000000E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Fonts w:ascii="Arial Narrow" w:cs="Arial Narrow" w:eastAsia="Arial Narrow" w:hAnsi="Arial Narrow"/>
          <w:color w:val="000000"/>
          <w:sz w:val="24"/>
          <w:szCs w:val="24"/>
          <w:rtl w:val="0"/>
        </w:rPr>
        <w:t xml:space="preserve">Se contrasta la información de la estación de CENICAFE, con los datos de la estación meteorológica de CARDER ubicada en la vereda Patio Bonito, para el año 2018, evidenciando una temperatura promedio de 20.4°C, es decir, un valor muy similar, aunque con variaciones en las temperaturas máximas y mínimas, registrando una máxima de 33,6 °C (periodo de lluvias) en el mes de abril y una mínima de 15 °C en el mes de enero (periodo seco).</w:t>
      </w:r>
      <w:r w:rsidDel="00000000" w:rsidR="00000000" w:rsidRPr="00000000">
        <w:rPr>
          <w:rtl w:val="0"/>
        </w:rPr>
      </w:r>
    </w:p>
    <w:p w:rsidR="00000000" w:rsidDel="00000000" w:rsidP="00000000" w:rsidRDefault="00000000" w:rsidRPr="00000000" w14:paraId="000000E3">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E4">
      <w:pPr>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color w:val="000000"/>
          <w:rtl w:val="0"/>
        </w:rPr>
        <w:t xml:space="preserve">Datos sobre precipitación.</w:t>
      </w:r>
      <w:r w:rsidDel="00000000" w:rsidR="00000000" w:rsidRPr="00000000">
        <w:rPr>
          <w:rtl w:val="0"/>
        </w:rPr>
      </w:r>
    </w:p>
    <w:p w:rsidR="00000000" w:rsidDel="00000000" w:rsidP="00000000" w:rsidRDefault="00000000" w:rsidRPr="00000000" w14:paraId="000000E5">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5644284" cy="1069903"/>
            <wp:effectExtent b="0" l="0" r="0" t="0"/>
            <wp:docPr descr="https://lh5.googleusercontent.com/VPk_AOpNT9P_3uHlSXDAlMR-4LjlJCkGNVdmfV4sVYJAKLVohpikk1w5lUYVJBHHMZK2JThy9RAj6cx63hRtSgYYoI_46NinkNjyBGs-24d5LzWmVOp7JoSXXGrOUGJHzLI-yMg" id="762" name="image14.png"/>
            <a:graphic>
              <a:graphicData uri="http://schemas.openxmlformats.org/drawingml/2006/picture">
                <pic:pic>
                  <pic:nvPicPr>
                    <pic:cNvPr descr="https://lh5.googleusercontent.com/VPk_AOpNT9P_3uHlSXDAlMR-4LjlJCkGNVdmfV4sVYJAKLVohpikk1w5lUYVJBHHMZK2JThy9RAj6cx63hRtSgYYoI_46NinkNjyBGs-24d5LzWmVOp7JoSXXGrOUGJHzLI-yMg" id="0" name="image14.png"/>
                    <pic:cNvPicPr preferRelativeResize="0"/>
                  </pic:nvPicPr>
                  <pic:blipFill>
                    <a:blip r:embed="rId16"/>
                    <a:srcRect b="25367" l="5262" r="6974" t="43377"/>
                    <a:stretch>
                      <a:fillRect/>
                    </a:stretch>
                  </pic:blipFill>
                  <pic:spPr>
                    <a:xfrm>
                      <a:off x="0" y="0"/>
                      <a:ext cx="5644284" cy="1069903"/>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4. Precipitación acumulada mensual para el período 2016 – 2018 en la estación La Celia</w:t>
      </w: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Fonts w:ascii="Arial Narrow" w:cs="Arial Narrow" w:eastAsia="Arial Narrow" w:hAnsi="Arial Narrow"/>
          <w:color w:val="000000"/>
          <w:sz w:val="24"/>
          <w:szCs w:val="24"/>
          <w:rtl w:val="0"/>
        </w:rPr>
        <w:t xml:space="preserve">Con respecto a la precipitación en el municipio, según los datos disponibles reportados por la estación La Celia – Cenicafé, el Municipio presentó durante los últimos tres años, una precipitación acumulada mensual mínima de 2,7 mm, en el mes de Julio del año 2017, y una precipitación máxima mensual acumulada de 425,4 mm en el mes de octubre de 2018. De acuerdo a los datos disponibles se han presentado 1742,3 mm más de lluvia en el año 2018 que en el año 2016.</w:t>
      </w:r>
      <w:r w:rsidDel="00000000" w:rsidR="00000000" w:rsidRPr="00000000">
        <w:rPr>
          <w:rtl w:val="0"/>
        </w:rPr>
      </w:r>
    </w:p>
    <w:p w:rsidR="00000000" w:rsidDel="00000000" w:rsidP="00000000" w:rsidRDefault="00000000" w:rsidRPr="00000000" w14:paraId="000000E8">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Eventos hidrometeorológicos e hidroclimáticos asociados a fenómenos de variabilidad y cambio climático presentados en la zona de influencia del Área de Recreación Alto del Rey</w:t>
      </w:r>
    </w:p>
    <w:p w:rsidR="00000000" w:rsidDel="00000000" w:rsidP="00000000" w:rsidRDefault="00000000" w:rsidRPr="00000000" w14:paraId="000000EA">
      <w:pPr>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E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base de datos DESINVENTAR (Corporación OSSO –Colombia), la cual cuenta con eventos registrados desde 1950, se pueden apreciar aquellos eventos directamente relacionados con fenómenos meteorológicos o hidroclimáticos que tuvieron lugar en el municipio durante periodos de ocurrencia de fenómenos de La Niña o El Niño. </w:t>
      </w:r>
    </w:p>
    <w:p w:rsidR="00000000" w:rsidDel="00000000" w:rsidP="00000000" w:rsidRDefault="00000000" w:rsidRPr="00000000" w14:paraId="000000E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incidencia de los periodos con anomalías climáticas en los eventos identificados, permite distinguir un potencial aumento en la frecuencia de dichos eventos y la magnitud de los mismos, teniendo en cuenta que dichos fenómenos están relacionados con periodos de mayor o menor precipitación y temperatura.</w:t>
      </w:r>
    </w:p>
    <w:p w:rsidR="00000000" w:rsidDel="00000000" w:rsidP="00000000" w:rsidRDefault="00000000" w:rsidRPr="00000000" w14:paraId="000000EE">
      <w:pPr>
        <w:spacing w:line="240" w:lineRule="auto"/>
        <w:jc w:val="both"/>
        <w:rPr>
          <w:rFonts w:ascii="Arial Narrow" w:cs="Arial Narrow" w:eastAsia="Arial Narrow" w:hAnsi="Arial Narrow"/>
          <w:color w:val="000000"/>
          <w:sz w:val="24"/>
          <w:szCs w:val="24"/>
        </w:rPr>
      </w:pPr>
      <w:r w:rsidDel="00000000" w:rsidR="00000000" w:rsidRPr="00000000">
        <w:rPr>
          <w:rtl w:val="0"/>
        </w:rPr>
      </w:r>
    </w:p>
    <w:tbl>
      <w:tblPr>
        <w:tblStyle w:val="Table4"/>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126"/>
        <w:gridCol w:w="2835"/>
        <w:gridCol w:w="2029"/>
        <w:tblGridChange w:id="0">
          <w:tblGrid>
            <w:gridCol w:w="1838"/>
            <w:gridCol w:w="2126"/>
            <w:gridCol w:w="2835"/>
            <w:gridCol w:w="2029"/>
          </w:tblGrid>
        </w:tblGridChange>
      </w:tblGrid>
      <w:tr>
        <w:trPr>
          <w:trHeight w:val="300" w:hRule="atLeast"/>
        </w:trPr>
        <w:tc>
          <w:tcPr>
            <w:shd w:fill="c6e0b4" w:val="clear"/>
          </w:tcPr>
          <w:p w:rsidR="00000000" w:rsidDel="00000000" w:rsidP="00000000" w:rsidRDefault="00000000" w:rsidRPr="00000000" w14:paraId="000000EF">
            <w:pPr>
              <w:spacing w:line="240" w:lineRule="auto"/>
              <w:jc w:val="center"/>
              <w:rPr>
                <w:rFonts w:ascii="Arial Narrow" w:cs="Arial Narrow" w:eastAsia="Arial Narrow" w:hAnsi="Arial Narrow"/>
                <w:b w:val="1"/>
                <w:color w:val="000000"/>
                <w:sz w:val="20"/>
                <w:szCs w:val="20"/>
              </w:rPr>
            </w:pPr>
            <w:r w:rsidDel="00000000" w:rsidR="00000000" w:rsidRPr="00000000">
              <w:rPr>
                <w:rtl w:val="0"/>
              </w:rPr>
            </w:r>
          </w:p>
          <w:p w:rsidR="00000000" w:rsidDel="00000000" w:rsidP="00000000" w:rsidRDefault="00000000" w:rsidRPr="00000000" w14:paraId="000000F0">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Eventos</w:t>
            </w:r>
          </w:p>
        </w:tc>
        <w:tc>
          <w:tcPr>
            <w:shd w:fill="c6e0b4" w:val="clear"/>
          </w:tcPr>
          <w:p w:rsidR="00000000" w:rsidDel="00000000" w:rsidP="00000000" w:rsidRDefault="00000000" w:rsidRPr="00000000" w14:paraId="000000F1">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Numero de eventos reportados 2004 – 2015</w:t>
            </w:r>
          </w:p>
        </w:tc>
        <w:tc>
          <w:tcPr>
            <w:shd w:fill="c6e0b4" w:val="clear"/>
          </w:tcPr>
          <w:p w:rsidR="00000000" w:rsidDel="00000000" w:rsidP="00000000" w:rsidRDefault="00000000" w:rsidRPr="00000000" w14:paraId="000000F2">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Proporción con el total de eventos reportados 2004 – 2015</w:t>
            </w:r>
          </w:p>
        </w:tc>
        <w:tc>
          <w:tcPr>
            <w:shd w:fill="c6e0b4" w:val="clear"/>
          </w:tcPr>
          <w:p w:rsidR="00000000" w:rsidDel="00000000" w:rsidP="00000000" w:rsidRDefault="00000000" w:rsidRPr="00000000" w14:paraId="000000F3">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Sectores Afectados históricamente </w:t>
            </w:r>
          </w:p>
        </w:tc>
      </w:tr>
      <w:tr>
        <w:trPr>
          <w:trHeight w:val="50" w:hRule="atLeast"/>
        </w:trPr>
        <w:tc>
          <w:tcPr>
            <w:shd w:fill="auto" w:val="clear"/>
          </w:tcPr>
          <w:p w:rsidR="00000000" w:rsidDel="00000000" w:rsidP="00000000" w:rsidRDefault="00000000" w:rsidRPr="00000000" w14:paraId="000000F4">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Incendio forestal</w:t>
            </w:r>
          </w:p>
        </w:tc>
        <w:tc>
          <w:tcPr>
            <w:shd w:fill="auto" w:val="clear"/>
          </w:tcPr>
          <w:p w:rsidR="00000000" w:rsidDel="00000000" w:rsidP="00000000" w:rsidRDefault="00000000" w:rsidRPr="00000000" w14:paraId="000000F5">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p w:rsidR="00000000" w:rsidDel="00000000" w:rsidP="00000000" w:rsidRDefault="00000000" w:rsidRPr="00000000" w14:paraId="000000F6">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33%</w:t>
            </w:r>
          </w:p>
        </w:tc>
        <w:tc>
          <w:tcPr/>
          <w:p w:rsidR="00000000" w:rsidDel="00000000" w:rsidP="00000000" w:rsidRDefault="00000000" w:rsidRPr="00000000" w14:paraId="000000F7">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Vereda Monteredondo</w:t>
            </w:r>
          </w:p>
        </w:tc>
      </w:tr>
      <w:tr>
        <w:trPr>
          <w:trHeight w:val="50" w:hRule="atLeast"/>
        </w:trPr>
        <w:tc>
          <w:tcPr>
            <w:shd w:fill="auto" w:val="clear"/>
          </w:tcPr>
          <w:p w:rsidR="00000000" w:rsidDel="00000000" w:rsidP="00000000" w:rsidRDefault="00000000" w:rsidRPr="00000000" w14:paraId="000000F8">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Vendaval</w:t>
            </w:r>
          </w:p>
        </w:tc>
        <w:tc>
          <w:tcPr>
            <w:shd w:fill="auto" w:val="clear"/>
          </w:tcPr>
          <w:p w:rsidR="00000000" w:rsidDel="00000000" w:rsidP="00000000" w:rsidRDefault="00000000" w:rsidRPr="00000000" w14:paraId="000000F9">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31</w:t>
            </w:r>
          </w:p>
        </w:tc>
        <w:tc>
          <w:tcPr/>
          <w:p w:rsidR="00000000" w:rsidDel="00000000" w:rsidP="00000000" w:rsidRDefault="00000000" w:rsidRPr="00000000" w14:paraId="000000FA">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43%</w:t>
            </w:r>
          </w:p>
        </w:tc>
        <w:tc>
          <w:tcPr/>
          <w:p w:rsidR="00000000" w:rsidDel="00000000" w:rsidP="00000000" w:rsidRDefault="00000000" w:rsidRPr="00000000" w14:paraId="000000FB">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Vereda La Quiebra</w:t>
            </w:r>
          </w:p>
        </w:tc>
      </w:tr>
      <w:tr>
        <w:trPr>
          <w:trHeight w:val="50" w:hRule="atLeast"/>
        </w:trPr>
        <w:tc>
          <w:tcPr>
            <w:shd w:fill="auto" w:val="clear"/>
          </w:tcPr>
          <w:p w:rsidR="00000000" w:rsidDel="00000000" w:rsidP="00000000" w:rsidRDefault="00000000" w:rsidRPr="00000000" w14:paraId="000000FC">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Deslizamiento</w:t>
            </w:r>
          </w:p>
        </w:tc>
        <w:tc>
          <w:tcPr>
            <w:shd w:fill="auto" w:val="clear"/>
          </w:tcPr>
          <w:p w:rsidR="00000000" w:rsidDel="00000000" w:rsidP="00000000" w:rsidRDefault="00000000" w:rsidRPr="00000000" w14:paraId="000000FD">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p w:rsidR="00000000" w:rsidDel="00000000" w:rsidP="00000000" w:rsidRDefault="00000000" w:rsidRPr="00000000" w14:paraId="000000FE">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p w:rsidR="00000000" w:rsidDel="00000000" w:rsidP="00000000" w:rsidRDefault="00000000" w:rsidRPr="00000000" w14:paraId="000000FF">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Veredas Monteredondo y la Quiebra </w:t>
            </w:r>
          </w:p>
        </w:tc>
      </w:tr>
    </w:tbl>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000000"/>
          <w:sz w:val="20"/>
          <w:szCs w:val="20"/>
          <w:u w:val="none"/>
          <w:shd w:fill="auto" w:val="clear"/>
          <w:vertAlign w:val="baseline"/>
        </w:rPr>
      </w:pPr>
      <w:bookmarkStart w:colFirst="0" w:colLast="0" w:name="_heading=h.4i7ojhp" w:id="21"/>
      <w:bookmarkEnd w:id="21"/>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5. Eventos reportados entre 2004 y 2015. Municipio de Balboa, Risaralda</w:t>
      </w:r>
      <w:r w:rsidDel="00000000" w:rsidR="00000000" w:rsidRPr="00000000">
        <w:rPr>
          <w:rtl w:val="0"/>
        </w:rPr>
      </w:r>
    </w:p>
    <w:p w:rsidR="00000000" w:rsidDel="00000000" w:rsidP="00000000" w:rsidRDefault="00000000" w:rsidRPr="00000000" w14:paraId="00000101">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Los mayores eventos para el área protegida están relacionados con vendavales con 31 eventos reportados durante el periodo de 2004- 2015, seguido de los incendios forestales con 22 eventos y deslizamientos con 11 eventos reportados. </w:t>
      </w:r>
    </w:p>
    <w:p w:rsidR="00000000" w:rsidDel="00000000" w:rsidP="00000000" w:rsidRDefault="00000000" w:rsidRPr="00000000" w14:paraId="00000102">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03">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Por su parte, los actores presentes en el área protegida, identificaron las tormentas como el evento más frecuente y con mayor intensidad, seguido por los vendavales con una intensidad fuerte. Otros eventos que se presentan en el área, aunque con menor frecuencia, pero de intensidad fuerte son los Deslizamientos, los incendios de cobertura vegetal y las sequías.</w:t>
      </w:r>
    </w:p>
    <w:p w:rsidR="00000000" w:rsidDel="00000000" w:rsidP="00000000" w:rsidRDefault="00000000" w:rsidRPr="00000000" w14:paraId="0000010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afectaciones más significativas evidenciadas en el área, por parte de sus habitantes, relacionadas con los eventos fueron las afectaciones a los senderos y vías a causa de los deslizamientos y el daño de cultivos como el plátano y el café. Con relación a la ocurrencia de fenómenos de variabilidad climática, los habitantes refirieron que, en durante los años 2010 y 2011 se presentaron fuertes lluvias, en el periodo comprendido entre 2015 y 2016 se presentaron fuertes lluvias y en el periodo 2017 - 2018 se presentó un periodo de sequía.</w:t>
      </w:r>
    </w:p>
    <w:p w:rsidR="00000000" w:rsidDel="00000000" w:rsidP="00000000" w:rsidRDefault="00000000" w:rsidRPr="00000000" w14:paraId="00000106">
      <w:pPr>
        <w:spacing w:line="240" w:lineRule="auto"/>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Arial Narrow" w:cs="Arial Narrow" w:eastAsia="Arial Narrow" w:hAnsi="Arial Narrow"/>
          <w:b w:val="1"/>
          <w:i w:val="0"/>
          <w:smallCaps w:val="0"/>
          <w:strike w:val="0"/>
          <w:color w:val="000000"/>
          <w:sz w:val="24"/>
          <w:szCs w:val="24"/>
          <w:highlight w:val="white"/>
          <w:u w:val="none"/>
          <w:vertAlign w:val="baseline"/>
          <w:rtl w:val="0"/>
        </w:rPr>
        <w:t xml:space="preserve">Escenarios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 cambio climático para el área de influencia del Área de Recreación Alto del Rey.</w:t>
      </w:r>
    </w:p>
    <w:p w:rsidR="00000000" w:rsidDel="00000000" w:rsidP="00000000" w:rsidRDefault="00000000" w:rsidRPr="00000000" w14:paraId="00000108">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9">
      <w:pPr>
        <w:jc w:val="both"/>
        <w:rPr>
          <w:rFonts w:ascii="Arial Narrow" w:cs="Arial Narrow" w:eastAsia="Arial Narrow" w:hAnsi="Arial Narrow"/>
          <w:sz w:val="24"/>
          <w:szCs w:val="24"/>
        </w:rPr>
      </w:pPr>
      <w:bookmarkStart w:colFirst="0" w:colLast="0" w:name="_heading=h.1ci93xb" w:id="23"/>
      <w:bookmarkEnd w:id="23"/>
      <w:r w:rsidDel="00000000" w:rsidR="00000000" w:rsidRPr="00000000">
        <w:rPr>
          <w:rFonts w:ascii="Arial Narrow" w:cs="Arial Narrow" w:eastAsia="Arial Narrow" w:hAnsi="Arial Narrow"/>
          <w:sz w:val="24"/>
          <w:szCs w:val="24"/>
          <w:rtl w:val="0"/>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w:t>
      </w:r>
    </w:p>
    <w:p w:rsidR="00000000" w:rsidDel="00000000" w:rsidP="00000000" w:rsidRDefault="00000000" w:rsidRPr="00000000" w14:paraId="0000010A">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B">
      <w:pPr>
        <w:spacing w:line="240" w:lineRule="auto"/>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sz w:val="24"/>
          <w:szCs w:val="24"/>
          <w:rtl w:val="0"/>
        </w:rPr>
        <w:t xml:space="preserve">Con base a esta información, para el AR Alto del Rey, se realiza la observación de los cambios esperados de la temperatura (en grados centígrados) y la precipitación (en milímetros) para los periodos 2011- 2040; 2041-2070; 2071- 2100, respecto al periodo de referencia 1976-2005, con base en los mapas de los escenarios de cambio climático (IDEAM).</w:t>
      </w:r>
      <w:r w:rsidDel="00000000" w:rsidR="00000000" w:rsidRPr="00000000">
        <w:rPr>
          <w:rtl w:val="0"/>
        </w:rPr>
      </w:r>
    </w:p>
    <w:p w:rsidR="00000000" w:rsidDel="00000000" w:rsidP="00000000" w:rsidRDefault="00000000" w:rsidRPr="00000000" w14:paraId="0000010C">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D">
      <w:pPr>
        <w:jc w:val="both"/>
        <w:rPr>
          <w:rFonts w:ascii="Arial Narrow" w:cs="Arial Narrow" w:eastAsia="Arial Narrow" w:hAnsi="Arial Narrow"/>
          <w:sz w:val="24"/>
          <w:szCs w:val="24"/>
        </w:rPr>
      </w:pPr>
      <w:bookmarkStart w:colFirst="0" w:colLast="0" w:name="_heading=h.3whwml4" w:id="24"/>
      <w:bookmarkEnd w:id="24"/>
      <w:r w:rsidDel="00000000" w:rsidR="00000000" w:rsidRPr="00000000">
        <w:rPr>
          <w:rFonts w:ascii="Arial Narrow" w:cs="Arial Narrow" w:eastAsia="Arial Narrow" w:hAnsi="Arial Narrow"/>
          <w:sz w:val="24"/>
          <w:szCs w:val="24"/>
          <w:rtl w:val="0"/>
        </w:rPr>
        <w:t xml:space="preserve">De acuerdo a la anterior información, los escenarios de cambio climático proyectados por IDEAM muestran en el periodo de referencia para el área protegida, temperaturas en la escala de 20,1°C a 21°C en casi toda el área, exceptuando un segmento ubicado en el centro occidente que presenta temperaturas en el rango de 19,1°C a 20°C. </w:t>
      </w:r>
    </w:p>
    <w:p w:rsidR="00000000" w:rsidDel="00000000" w:rsidP="00000000" w:rsidRDefault="00000000" w:rsidRPr="00000000" w14:paraId="0000010E">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10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escenario para el periodo 2011 – 2040, presenta cambios con </w:t>
      </w:r>
      <w:r w:rsidDel="00000000" w:rsidR="00000000" w:rsidRPr="00000000">
        <w:rPr>
          <w:rFonts w:ascii="Arial Narrow" w:cs="Arial Narrow" w:eastAsia="Arial Narrow" w:hAnsi="Arial Narrow"/>
          <w:color w:val="000000"/>
          <w:sz w:val="24"/>
          <w:szCs w:val="24"/>
          <w:rtl w:val="0"/>
        </w:rPr>
        <w:t xml:space="preserve">respecto el escenario de referencia entre 0,51°C a 0,8°C para toda el área protegida, lo que indica que se podrían alcanzar temperaturas de 21,8°C aproximadamente, en la mayor parte del área y en el centro occidente la temperatura puede alcanzar los 20,8°C.  </w:t>
      </w:r>
      <w:r w:rsidDel="00000000" w:rsidR="00000000" w:rsidRPr="00000000">
        <w:rPr>
          <w:rtl w:val="0"/>
        </w:rPr>
      </w:r>
    </w:p>
    <w:p w:rsidR="00000000" w:rsidDel="00000000" w:rsidP="00000000" w:rsidRDefault="00000000" w:rsidRPr="00000000" w14:paraId="00000110">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111">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De acuerdo al escenario 2041-2070 con r</w:t>
      </w:r>
      <w:r w:rsidDel="00000000" w:rsidR="00000000" w:rsidRPr="00000000">
        <w:rPr>
          <w:rFonts w:ascii="Arial Narrow" w:cs="Arial Narrow" w:eastAsia="Arial Narrow" w:hAnsi="Arial Narrow"/>
          <w:color w:val="000000"/>
          <w:sz w:val="24"/>
          <w:szCs w:val="24"/>
          <w:rtl w:val="0"/>
        </w:rPr>
        <w:t xml:space="preserve">especto al escenario de referencia, se prevén cambios para el AR entre 1,21°C a 1,6°C, para toda el área protegida, lo que indica que podría presentarse </w:t>
      </w:r>
      <w:r w:rsidDel="00000000" w:rsidR="00000000" w:rsidRPr="00000000">
        <w:drawing>
          <wp:anchor allowOverlap="1" behindDoc="0" distB="0" distT="0" distL="114300" distR="114300" hidden="0" layoutInCell="1" locked="0" relativeHeight="0" simplePos="0">
            <wp:simplePos x="0" y="0"/>
            <wp:positionH relativeFrom="column">
              <wp:posOffset>371475</wp:posOffset>
            </wp:positionH>
            <wp:positionV relativeFrom="paragraph">
              <wp:posOffset>536575</wp:posOffset>
            </wp:positionV>
            <wp:extent cx="4869180" cy="6256655"/>
            <wp:effectExtent b="0" l="0" r="0" t="0"/>
            <wp:wrapTopAndBottom distB="0" distT="0"/>
            <wp:docPr id="750"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869180" cy="6256655"/>
                    </a:xfrm>
                    <a:prstGeom prst="rect"/>
                    <a:ln/>
                  </pic:spPr>
                </pic:pic>
              </a:graphicData>
            </a:graphic>
          </wp:anchor>
        </w:drawing>
      </w:r>
    </w:p>
    <w:p w:rsidR="00000000" w:rsidDel="00000000" w:rsidP="00000000" w:rsidRDefault="00000000" w:rsidRPr="00000000" w14:paraId="00000112">
      <w:pPr>
        <w:spacing w:line="240" w:lineRule="auto"/>
        <w:jc w:val="center"/>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Escenarios de cambio climático de temperatura para el AR Alto del Rey</w:t>
      </w:r>
    </w:p>
    <w:p w:rsidR="00000000" w:rsidDel="00000000" w:rsidP="00000000" w:rsidRDefault="00000000" w:rsidRPr="00000000" w14:paraId="00000113">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14">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temperaturas de 22,6°C, excepto en la zona centro occidental que podría presentar temperaturas hasta de 21,6°C. </w:t>
      </w:r>
    </w:p>
    <w:p w:rsidR="00000000" w:rsidDel="00000000" w:rsidP="00000000" w:rsidRDefault="00000000" w:rsidRPr="00000000" w14:paraId="00000115">
      <w:pPr>
        <w:rPr>
          <w:rFonts w:ascii="Arial Narrow" w:cs="Arial Narrow" w:eastAsia="Arial Narrow" w:hAnsi="Arial Narrow"/>
          <w:color w:val="000000"/>
          <w:sz w:val="24"/>
          <w:szCs w:val="24"/>
          <w:highlight w:val="yellow"/>
        </w:rPr>
      </w:pPr>
      <w:r w:rsidDel="00000000" w:rsidR="00000000" w:rsidRPr="00000000">
        <w:rPr>
          <w:rtl w:val="0"/>
        </w:rPr>
      </w:r>
    </w:p>
    <w:p w:rsidR="00000000" w:rsidDel="00000000" w:rsidP="00000000" w:rsidRDefault="00000000" w:rsidRPr="00000000" w14:paraId="0000011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escenario 2071 -2100, presenta un panorama de cambio de temperatura en toda el área protegida en un rango de 2,01°C a 2,1°C, lo que indica que se podrían presentar temperaturas de aproximadamente de 23,1°C en casi toda el área, y de aproximadamente 22,1°C en el segmento ubicado en el centro occidente. </w:t>
      </w:r>
    </w:p>
    <w:p w:rsidR="00000000" w:rsidDel="00000000" w:rsidP="00000000" w:rsidRDefault="00000000" w:rsidRPr="00000000" w14:paraId="00000117">
      <w:pPr>
        <w:spacing w:line="240" w:lineRule="auto"/>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118">
      <w:pPr>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i w:val="1"/>
          <w:sz w:val="24"/>
          <w:szCs w:val="24"/>
          <w:rtl w:val="0"/>
        </w:rPr>
        <w:t xml:space="preserve">Escenario de cambio climático de precipitación para el AR Alto del Rey </w:t>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219075</wp:posOffset>
            </wp:positionH>
            <wp:positionV relativeFrom="paragraph">
              <wp:posOffset>95885</wp:posOffset>
            </wp:positionV>
            <wp:extent cx="4843780" cy="5699760"/>
            <wp:effectExtent b="0" l="0" r="0" t="0"/>
            <wp:wrapSquare wrapText="bothSides" distB="0" distT="0" distL="114300" distR="114300"/>
            <wp:docPr id="74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843780" cy="5699760"/>
                    </a:xfrm>
                    <a:prstGeom prst="rect"/>
                    <a:ln/>
                  </pic:spPr>
                </pic:pic>
              </a:graphicData>
            </a:graphic>
          </wp:anchor>
        </w:drawing>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1D">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1E">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1F">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0">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1">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2">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3">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4">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5">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6">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7">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8">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9">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A">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B">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C">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D">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E">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F">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0">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1">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2">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3">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4">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5">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6">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7">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8">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9">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A">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B">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C">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D">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E">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3F">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40">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41">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0"/>
          <w:szCs w:val="20"/>
          <w:rtl w:val="0"/>
        </w:rPr>
        <w:t xml:space="preserve">Fuente: Elaboración propia a partir de Fuente vector: SIGOT-IGAC, SER: Magna Colombia Bogotá EPSG 3116. </w:t>
      </w:r>
      <w:r w:rsidDel="00000000" w:rsidR="00000000" w:rsidRPr="00000000">
        <w:rPr>
          <w:rtl w:val="0"/>
        </w:rPr>
      </w:r>
    </w:p>
    <w:p w:rsidR="00000000" w:rsidDel="00000000" w:rsidP="00000000" w:rsidRDefault="00000000" w:rsidRPr="00000000" w14:paraId="00000142">
      <w:pPr>
        <w:spacing w:line="240" w:lineRule="auto"/>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143">
      <w:pPr>
        <w:jc w:val="both"/>
        <w:rPr>
          <w:rFonts w:ascii="Arial Narrow" w:cs="Arial Narrow" w:eastAsia="Arial Narrow" w:hAnsi="Arial Narrow"/>
          <w:sz w:val="24"/>
          <w:szCs w:val="24"/>
        </w:rPr>
      </w:pPr>
      <w:bookmarkStart w:colFirst="0" w:colLast="0" w:name="_heading=h.2bn6wsx" w:id="25"/>
      <w:bookmarkEnd w:id="25"/>
      <w:r w:rsidDel="00000000" w:rsidR="00000000" w:rsidRPr="00000000">
        <w:rPr>
          <w:rtl w:val="0"/>
        </w:rPr>
      </w:r>
    </w:p>
    <w:p w:rsidR="00000000" w:rsidDel="00000000" w:rsidP="00000000" w:rsidRDefault="00000000" w:rsidRPr="00000000" w14:paraId="0000014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escenarios de cambio climático muestran en el periodo de referencia (1976-2005), un valor de precipitación entre 2001 y 2500 mm/año en toda el área protegida. </w:t>
      </w:r>
    </w:p>
    <w:p w:rsidR="00000000" w:rsidDel="00000000" w:rsidP="00000000" w:rsidRDefault="00000000" w:rsidRPr="00000000" w14:paraId="00000149">
      <w:pPr>
        <w:spacing w:line="240" w:lineRule="auto"/>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14A">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El escenario 2011 – 2040, muestra un cambio en el porcentaje en la precipitación </w:t>
      </w:r>
      <w:r w:rsidDel="00000000" w:rsidR="00000000" w:rsidRPr="00000000">
        <w:rPr>
          <w:rFonts w:ascii="Arial Narrow" w:cs="Arial Narrow" w:eastAsia="Arial Narrow" w:hAnsi="Arial Narrow"/>
          <w:color w:val="000000"/>
          <w:sz w:val="24"/>
          <w:szCs w:val="24"/>
          <w:rtl w:val="0"/>
        </w:rPr>
        <w:t xml:space="preserve">entre un 20% y 30% en todo el AR, lo que indica que se prevén precipitaciones de aproximadamente 3250 mm/año para toda el área protegida. </w:t>
      </w:r>
    </w:p>
    <w:p w:rsidR="00000000" w:rsidDel="00000000" w:rsidP="00000000" w:rsidRDefault="00000000" w:rsidRPr="00000000" w14:paraId="0000014B">
      <w:pPr>
        <w:jc w:val="both"/>
        <w:rPr>
          <w:rFonts w:ascii="Arial Narrow" w:cs="Arial Narrow" w:eastAsia="Arial Narrow" w:hAnsi="Arial Narrow"/>
          <w:color w:val="000000"/>
          <w:sz w:val="24"/>
          <w:szCs w:val="24"/>
          <w:highlight w:val="yellow"/>
        </w:rPr>
      </w:pPr>
      <w:r w:rsidDel="00000000" w:rsidR="00000000" w:rsidRPr="00000000">
        <w:rPr>
          <w:rtl w:val="0"/>
        </w:rPr>
      </w:r>
    </w:p>
    <w:p w:rsidR="00000000" w:rsidDel="00000000" w:rsidP="00000000" w:rsidRDefault="00000000" w:rsidRPr="00000000" w14:paraId="0000014C">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Por su parte los escenarios 2041 – 2070 y 2071- 2100 muestran posibles aumentos respecto al periodo de referencia entre un 30% a un 40%, en toda el área protegida, esperando según este dato que se alcancen precipitaciones aproximadamente de 3500 mm/año. </w:t>
      </w:r>
    </w:p>
    <w:p w:rsidR="00000000" w:rsidDel="00000000" w:rsidP="00000000" w:rsidRDefault="00000000" w:rsidRPr="00000000" w14:paraId="0000014D">
      <w:pPr>
        <w:spacing w:line="240" w:lineRule="auto"/>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Impactos </w:t>
      </w:r>
      <w:r w:rsidDel="00000000" w:rsidR="00000000" w:rsidRPr="00000000">
        <w:rPr>
          <w:rFonts w:ascii="Arial Narrow" w:cs="Arial Narrow" w:eastAsia="Arial Narrow" w:hAnsi="Arial Narrow"/>
          <w:b w:val="1"/>
          <w:i w:val="0"/>
          <w:smallCaps w:val="0"/>
          <w:strike w:val="0"/>
          <w:color w:val="000000"/>
          <w:sz w:val="24"/>
          <w:szCs w:val="24"/>
          <w:highlight w:val="white"/>
          <w:u w:val="none"/>
          <w:vertAlign w:val="baseline"/>
          <w:rtl w:val="0"/>
        </w:rPr>
        <w:t xml:space="preserve">potenciales y manifestaciones de la variabilidad y cambio climático en el área protegida</w:t>
      </w:r>
      <w:r w:rsidDel="00000000" w:rsidR="00000000" w:rsidRPr="00000000">
        <w:rPr>
          <w:rtl w:val="0"/>
        </w:rPr>
      </w:r>
    </w:p>
    <w:p w:rsidR="00000000" w:rsidDel="00000000" w:rsidP="00000000" w:rsidRDefault="00000000" w:rsidRPr="00000000" w14:paraId="0000014F">
      <w:pPr>
        <w:jc w:val="both"/>
        <w:rPr>
          <w:rFonts w:ascii="Arial Narrow" w:cs="Arial Narrow" w:eastAsia="Arial Narrow" w:hAnsi="Arial Narrow"/>
          <w:b w:val="1"/>
          <w:sz w:val="24"/>
          <w:szCs w:val="24"/>
        </w:rPr>
      </w:pPr>
      <w:r w:rsidDel="00000000" w:rsidR="00000000" w:rsidRPr="00000000">
        <w:rPr>
          <w:rtl w:val="0"/>
        </w:rPr>
      </w:r>
    </w:p>
    <w:tbl>
      <w:tblPr>
        <w:tblStyle w:val="Table5"/>
        <w:tblW w:w="85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9"/>
        <w:gridCol w:w="5715"/>
        <w:gridCol w:w="1580"/>
        <w:tblGridChange w:id="0">
          <w:tblGrid>
            <w:gridCol w:w="1269"/>
            <w:gridCol w:w="5715"/>
            <w:gridCol w:w="1580"/>
          </w:tblGrid>
        </w:tblGridChange>
      </w:tblGrid>
      <w:tr>
        <w:trPr>
          <w:trHeight w:val="419" w:hRule="atLeast"/>
        </w:trPr>
        <w:tc>
          <w:tcPr>
            <w:shd w:fill="c5e0b3" w:val="clear"/>
          </w:tcPr>
          <w:p w:rsidR="00000000" w:rsidDel="00000000" w:rsidP="00000000" w:rsidRDefault="00000000" w:rsidRPr="00000000" w14:paraId="00000150">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Dimensión</w:t>
            </w:r>
            <w:r w:rsidDel="00000000" w:rsidR="00000000" w:rsidRPr="00000000">
              <w:rPr>
                <w:rtl w:val="0"/>
              </w:rPr>
            </w:r>
          </w:p>
        </w:tc>
        <w:tc>
          <w:tcPr>
            <w:shd w:fill="c5e0b3" w:val="clear"/>
          </w:tcPr>
          <w:p w:rsidR="00000000" w:rsidDel="00000000" w:rsidP="00000000" w:rsidRDefault="00000000" w:rsidRPr="00000000" w14:paraId="00000151">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Riesgos estimados</w:t>
            </w:r>
            <w:r w:rsidDel="00000000" w:rsidR="00000000" w:rsidRPr="00000000">
              <w:rPr>
                <w:rtl w:val="0"/>
              </w:rPr>
            </w:r>
          </w:p>
        </w:tc>
        <w:tc>
          <w:tcPr>
            <w:shd w:fill="c5e0b3" w:val="clear"/>
          </w:tcPr>
          <w:p w:rsidR="00000000" w:rsidDel="00000000" w:rsidP="00000000" w:rsidRDefault="00000000" w:rsidRPr="00000000" w14:paraId="00000152">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Calificación</w:t>
            </w:r>
            <w:r w:rsidDel="00000000" w:rsidR="00000000" w:rsidRPr="00000000">
              <w:rPr>
                <w:rtl w:val="0"/>
              </w:rPr>
            </w:r>
          </w:p>
        </w:tc>
      </w:tr>
      <w:tr>
        <w:tc>
          <w:tcPr>
            <w:vMerge w:val="restart"/>
          </w:tcPr>
          <w:p w:rsidR="00000000" w:rsidDel="00000000" w:rsidP="00000000" w:rsidRDefault="00000000" w:rsidRPr="00000000" w14:paraId="00000153">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54">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55">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56">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tl w:val="0"/>
              </w:rPr>
              <w:t xml:space="preserve">Biodiversidad</w:t>
            </w:r>
            <w:r w:rsidDel="00000000" w:rsidR="00000000" w:rsidRPr="00000000">
              <w:rPr>
                <w:rtl w:val="0"/>
              </w:rPr>
            </w:r>
          </w:p>
        </w:tc>
        <w:tc>
          <w:tcPr/>
          <w:p w:rsidR="00000000" w:rsidDel="00000000" w:rsidP="00000000" w:rsidRDefault="00000000" w:rsidRPr="00000000" w14:paraId="00000157">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Oportunidad para nuevas especies (prioritarias)</w:t>
            </w:r>
          </w:p>
        </w:tc>
        <w:tc>
          <w:tcPr/>
          <w:p w:rsidR="00000000" w:rsidDel="00000000" w:rsidP="00000000" w:rsidRDefault="00000000" w:rsidRPr="00000000" w14:paraId="00000158">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w:t>
            </w:r>
          </w:p>
        </w:tc>
      </w:tr>
      <w:tr>
        <w:tc>
          <w:tcPr>
            <w:vMerge w:val="continue"/>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5A">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Cambios estacionales y sobre la fenología. Diferencias temporales entre un ciclo de reproducción de especies y su suministro alimenticio</w:t>
            </w:r>
          </w:p>
        </w:tc>
        <w:tc>
          <w:tcPr/>
          <w:p w:rsidR="00000000" w:rsidDel="00000000" w:rsidP="00000000" w:rsidRDefault="00000000" w:rsidRPr="00000000" w14:paraId="0000015B">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w:t>
            </w:r>
          </w:p>
        </w:tc>
      </w:tr>
      <w:tr>
        <w:tc>
          <w:tcPr>
            <w:vMerge w:val="continue"/>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5D">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333333"/>
                <w:sz w:val="20"/>
                <w:szCs w:val="20"/>
                <w:rtl w:val="0"/>
              </w:rPr>
              <w:t xml:space="preserve">Cambio en ciclos de vida, especialmente insectos</w:t>
            </w:r>
            <w:r w:rsidDel="00000000" w:rsidR="00000000" w:rsidRPr="00000000">
              <w:rPr>
                <w:rtl w:val="0"/>
              </w:rPr>
            </w:r>
          </w:p>
        </w:tc>
        <w:tc>
          <w:tcPr/>
          <w:p w:rsidR="00000000" w:rsidDel="00000000" w:rsidP="00000000" w:rsidRDefault="00000000" w:rsidRPr="00000000" w14:paraId="0000015E">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w:t>
            </w:r>
          </w:p>
        </w:tc>
      </w:tr>
      <w:tr>
        <w:tc>
          <w:tcPr>
            <w:vMerge w:val="continue"/>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60">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Cambios en los patrones de migración de las especies</w:t>
            </w:r>
          </w:p>
        </w:tc>
        <w:tc>
          <w:tcPr/>
          <w:p w:rsidR="00000000" w:rsidDel="00000000" w:rsidP="00000000" w:rsidRDefault="00000000" w:rsidRPr="00000000" w14:paraId="00000161">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w:t>
            </w:r>
          </w:p>
        </w:tc>
      </w:tr>
      <w:tr>
        <w:tc>
          <w:tcPr>
            <w:vMerge w:val="continue"/>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63">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Incremento en déficits de humedad de los suelos y sequías</w:t>
            </w:r>
          </w:p>
        </w:tc>
        <w:tc>
          <w:tcPr/>
          <w:p w:rsidR="00000000" w:rsidDel="00000000" w:rsidP="00000000" w:rsidRDefault="00000000" w:rsidRPr="00000000" w14:paraId="00000164">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Muy Alto</w:t>
            </w:r>
          </w:p>
        </w:tc>
      </w:tr>
      <w:tr>
        <w:tc>
          <w:tcPr>
            <w:vMerge w:val="continue"/>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66">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Incremento en la erosión del suelo</w:t>
            </w:r>
          </w:p>
        </w:tc>
        <w:tc>
          <w:tcPr/>
          <w:p w:rsidR="00000000" w:rsidDel="00000000" w:rsidP="00000000" w:rsidRDefault="00000000" w:rsidRPr="00000000" w14:paraId="00000167">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Muy Alto</w:t>
            </w:r>
          </w:p>
        </w:tc>
      </w:tr>
      <w:tr>
        <w:tc>
          <w:tcPr>
            <w:vMerge w:val="continue"/>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69">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Remoción de árboles durante tormentas</w:t>
            </w:r>
          </w:p>
        </w:tc>
        <w:tc>
          <w:tcPr/>
          <w:p w:rsidR="00000000" w:rsidDel="00000000" w:rsidP="00000000" w:rsidRDefault="00000000" w:rsidRPr="00000000" w14:paraId="0000016A">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w:t>
            </w:r>
          </w:p>
        </w:tc>
      </w:tr>
      <w:tr>
        <w:tc>
          <w:tcPr>
            <w:vMerge w:val="continue"/>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6C">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Mayores acontecimientos de sequía (más frecuentes y prolongadas)</w:t>
            </w:r>
          </w:p>
        </w:tc>
        <w:tc>
          <w:tcPr/>
          <w:p w:rsidR="00000000" w:rsidDel="00000000" w:rsidP="00000000" w:rsidRDefault="00000000" w:rsidRPr="00000000" w14:paraId="0000016D">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Muy Alto</w:t>
            </w:r>
          </w:p>
        </w:tc>
      </w:tr>
      <w:tr>
        <w:tc>
          <w:tcPr>
            <w:vMerge w:val="continue"/>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6F">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Pérdida/ganancia de nichos</w:t>
            </w:r>
          </w:p>
        </w:tc>
        <w:tc>
          <w:tcPr/>
          <w:p w:rsidR="00000000" w:rsidDel="00000000" w:rsidP="00000000" w:rsidRDefault="00000000" w:rsidRPr="00000000" w14:paraId="00000170">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w:t>
            </w:r>
          </w:p>
        </w:tc>
      </w:tr>
      <w:tr>
        <w:tc>
          <w:tcPr>
            <w:vMerge w:val="continue"/>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72">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Riesgo a incendios</w:t>
            </w:r>
          </w:p>
        </w:tc>
        <w:tc>
          <w:tcPr/>
          <w:p w:rsidR="00000000" w:rsidDel="00000000" w:rsidP="00000000" w:rsidRDefault="00000000" w:rsidRPr="00000000" w14:paraId="00000173">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Alto</w:t>
            </w:r>
          </w:p>
        </w:tc>
      </w:tr>
      <w:tr>
        <w:tc>
          <w:tcPr>
            <w:vMerge w:val="continue"/>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75">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Aumento en la oferta de servicios ecosistémicos</w:t>
            </w:r>
          </w:p>
        </w:tc>
        <w:tc>
          <w:tcPr/>
          <w:p w:rsidR="00000000" w:rsidDel="00000000" w:rsidP="00000000" w:rsidRDefault="00000000" w:rsidRPr="00000000" w14:paraId="00000176">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w:t>
            </w:r>
          </w:p>
        </w:tc>
      </w:tr>
      <w:tr>
        <w:tc>
          <w:tcPr>
            <w:vMerge w:val="continue"/>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78">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Posible desaparición de especies (pendiente más análisis)</w:t>
            </w:r>
          </w:p>
        </w:tc>
        <w:tc>
          <w:tcPr/>
          <w:p w:rsidR="00000000" w:rsidDel="00000000" w:rsidP="00000000" w:rsidRDefault="00000000" w:rsidRPr="00000000" w14:paraId="00000179">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w:t>
            </w:r>
          </w:p>
        </w:tc>
      </w:tr>
      <w:tr>
        <w:tc>
          <w:tcPr>
            <w:vMerge w:val="continue"/>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7B">
            <w:pP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Consolidado</w:t>
            </w:r>
            <w:r w:rsidDel="00000000" w:rsidR="00000000" w:rsidRPr="00000000">
              <w:rPr>
                <w:rtl w:val="0"/>
              </w:rPr>
            </w:r>
          </w:p>
        </w:tc>
        <w:tc>
          <w:tcPr/>
          <w:p w:rsidR="00000000" w:rsidDel="00000000" w:rsidP="00000000" w:rsidRDefault="00000000" w:rsidRPr="00000000" w14:paraId="0000017C">
            <w:pP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Medio</w:t>
            </w:r>
          </w:p>
        </w:tc>
      </w:tr>
      <w:tr>
        <w:tc>
          <w:tcPr>
            <w:vMerge w:val="restart"/>
          </w:tcPr>
          <w:p w:rsidR="00000000" w:rsidDel="00000000" w:rsidP="00000000" w:rsidRDefault="00000000" w:rsidRPr="00000000" w14:paraId="0000017D">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7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Comunidades</w:t>
            </w:r>
          </w:p>
          <w:p w:rsidR="00000000" w:rsidDel="00000000" w:rsidP="00000000" w:rsidRDefault="00000000" w:rsidRPr="00000000" w14:paraId="0000017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y medios de</w:t>
            </w:r>
          </w:p>
          <w:p w:rsidR="00000000" w:rsidDel="00000000" w:rsidP="00000000" w:rsidRDefault="00000000" w:rsidRPr="00000000" w14:paraId="0000018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vida</w:t>
            </w:r>
          </w:p>
        </w:tc>
        <w:tc>
          <w:tcPr/>
          <w:p w:rsidR="00000000" w:rsidDel="00000000" w:rsidP="00000000" w:rsidRDefault="00000000" w:rsidRPr="00000000" w14:paraId="00000181">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Variabilidad climática / Cambios en productividad comercial de diferentes actividades económicas (p. ej. agricultura)</w:t>
            </w:r>
          </w:p>
        </w:tc>
        <w:tc>
          <w:tcPr/>
          <w:p w:rsidR="00000000" w:rsidDel="00000000" w:rsidP="00000000" w:rsidRDefault="00000000" w:rsidRPr="00000000" w14:paraId="00000182">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Muy Alto</w:t>
            </w:r>
          </w:p>
        </w:tc>
      </w:tr>
      <w:tr>
        <w:tc>
          <w:tcPr>
            <w:vMerge w:val="continue"/>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84">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Variabilidad climática / Aumento en el riesgo de problemas de salud</w:t>
            </w:r>
          </w:p>
        </w:tc>
        <w:tc>
          <w:tcPr/>
          <w:p w:rsidR="00000000" w:rsidDel="00000000" w:rsidP="00000000" w:rsidRDefault="00000000" w:rsidRPr="00000000" w14:paraId="00000185">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Alto</w:t>
            </w:r>
          </w:p>
        </w:tc>
      </w:tr>
      <w:tr>
        <w:tc>
          <w:tcPr>
            <w:vMerge w:val="continue"/>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87">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Variabilidad climática / Aumento del riesgo de falla en la calidad y continuidad de suministro de agua potable</w:t>
            </w:r>
          </w:p>
        </w:tc>
        <w:tc>
          <w:tcPr/>
          <w:p w:rsidR="00000000" w:rsidDel="00000000" w:rsidP="00000000" w:rsidRDefault="00000000" w:rsidRPr="00000000" w14:paraId="00000188">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Alto</w:t>
            </w:r>
          </w:p>
        </w:tc>
      </w:tr>
      <w:tr>
        <w:tc>
          <w:tcPr>
            <w:vMerge w:val="continue"/>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18A">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b w:val="1"/>
                <w:sz w:val="20"/>
                <w:szCs w:val="20"/>
                <w:rtl w:val="0"/>
              </w:rPr>
              <w:t xml:space="preserve">Consolidado</w:t>
            </w:r>
            <w:r w:rsidDel="00000000" w:rsidR="00000000" w:rsidRPr="00000000">
              <w:rPr>
                <w:rtl w:val="0"/>
              </w:rPr>
            </w:r>
          </w:p>
        </w:tc>
        <w:tc>
          <w:tcPr/>
          <w:p w:rsidR="00000000" w:rsidDel="00000000" w:rsidP="00000000" w:rsidRDefault="00000000" w:rsidRPr="00000000" w14:paraId="0000018B">
            <w:pP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Medio</w:t>
            </w:r>
          </w:p>
        </w:tc>
      </w:tr>
      <w:tr>
        <w:tc>
          <w:tcPr>
            <w:vMerge w:val="restart"/>
          </w:tcPr>
          <w:p w:rsidR="00000000" w:rsidDel="00000000" w:rsidP="00000000" w:rsidRDefault="00000000" w:rsidRPr="00000000" w14:paraId="0000018C">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8D">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8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Recurso hídrico</w:t>
            </w:r>
          </w:p>
        </w:tc>
        <w:tc>
          <w:tcPr/>
          <w:p w:rsidR="00000000" w:rsidDel="00000000" w:rsidP="00000000" w:rsidRDefault="00000000" w:rsidRPr="00000000" w14:paraId="0000018F">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Eventos de precipitación intensa / Rebasamiento de alcantarillas y deterioro de la calidad del agua</w:t>
            </w:r>
          </w:p>
        </w:tc>
        <w:tc>
          <w:tcPr/>
          <w:p w:rsidR="00000000" w:rsidDel="00000000" w:rsidP="00000000" w:rsidRDefault="00000000" w:rsidRPr="00000000" w14:paraId="000001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Medio</w:t>
            </w:r>
          </w:p>
        </w:tc>
      </w:tr>
      <w:tr>
        <w:tc>
          <w:tcPr>
            <w:vMerge w:val="continue"/>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2">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Aumentos en la precipitación (a largo plazo o intensos) / Inundación de infraestructura crítica</w:t>
            </w:r>
          </w:p>
        </w:tc>
        <w:tc>
          <w:tcPr/>
          <w:p w:rsidR="00000000" w:rsidDel="00000000" w:rsidP="00000000" w:rsidRDefault="00000000" w:rsidRPr="00000000" w14:paraId="000001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Medio</w:t>
            </w:r>
          </w:p>
        </w:tc>
      </w:tr>
      <w:tr>
        <w:tc>
          <w:tcPr>
            <w:vMerge w:val="continue"/>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5">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Cambios en la temperatura y precipitaciones / Rupturas de tuberías</w:t>
            </w:r>
          </w:p>
        </w:tc>
        <w:tc>
          <w:tcPr/>
          <w:p w:rsidR="00000000" w:rsidDel="00000000" w:rsidP="00000000" w:rsidRDefault="00000000" w:rsidRPr="00000000" w14:paraId="000001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Muy Alto</w:t>
            </w:r>
          </w:p>
        </w:tc>
      </w:tr>
      <w:tr>
        <w:tc>
          <w:tcPr>
            <w:vMerge w:val="continue"/>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8">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Cambios en la temperatura y precipitaciones / Calidad del agua para suministro</w:t>
            </w:r>
          </w:p>
        </w:tc>
        <w:tc>
          <w:tcPr/>
          <w:p w:rsidR="00000000" w:rsidDel="00000000" w:rsidP="00000000" w:rsidRDefault="00000000" w:rsidRPr="00000000" w14:paraId="000001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Muy Alto</w:t>
            </w:r>
          </w:p>
        </w:tc>
      </w:tr>
      <w:tr>
        <w:tc>
          <w:tcPr>
            <w:vMerge w:val="continue"/>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B">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Eventos intensos de precipitación seguidos por altas temperaturas / Riesgos a la salud pública; posibles aumentos en costos por tratamiento de aguas.</w:t>
            </w:r>
          </w:p>
        </w:tc>
        <w:tc>
          <w:tcPr/>
          <w:p w:rsidR="00000000" w:rsidDel="00000000" w:rsidP="00000000" w:rsidRDefault="00000000" w:rsidRPr="00000000" w14:paraId="000001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Muy Alto</w:t>
            </w:r>
          </w:p>
        </w:tc>
      </w:tr>
      <w:tr>
        <w:tc>
          <w:tcPr>
            <w:vMerge w:val="continue"/>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Consolidado</w:t>
            </w:r>
            <w:r w:rsidDel="00000000" w:rsidR="00000000" w:rsidRPr="00000000">
              <w:rPr>
                <w:rtl w:val="0"/>
              </w:rPr>
            </w:r>
          </w:p>
        </w:tc>
        <w:tc>
          <w:tcPr/>
          <w:p w:rsidR="00000000" w:rsidDel="00000000" w:rsidP="00000000" w:rsidRDefault="00000000" w:rsidRPr="00000000" w14:paraId="000001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Alto</w:t>
            </w:r>
          </w:p>
        </w:tc>
      </w:tr>
      <w:tr>
        <w:tc>
          <w:tcPr>
            <w:vMerge w:val="restart"/>
          </w:tcPr>
          <w:p w:rsidR="00000000" w:rsidDel="00000000" w:rsidP="00000000" w:rsidRDefault="00000000" w:rsidRPr="00000000" w14:paraId="000001A0">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A1">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A2">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A3">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tl w:val="0"/>
              </w:rPr>
              <w:t xml:space="preserve">Misceláneo</w:t>
            </w:r>
            <w:r w:rsidDel="00000000" w:rsidR="00000000" w:rsidRPr="00000000">
              <w:rPr>
                <w:rtl w:val="0"/>
              </w:rPr>
            </w:r>
          </w:p>
        </w:tc>
        <w:tc>
          <w:tcPr/>
          <w:p w:rsidR="00000000" w:rsidDel="00000000" w:rsidP="00000000" w:rsidRDefault="00000000" w:rsidRPr="00000000" w14:paraId="000001A4">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Mayor diversificación cultivos</w:t>
            </w:r>
          </w:p>
        </w:tc>
        <w:tc>
          <w:tcPr/>
          <w:p w:rsidR="00000000" w:rsidDel="00000000" w:rsidP="00000000" w:rsidRDefault="00000000" w:rsidRPr="00000000" w14:paraId="000001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Medio</w:t>
            </w:r>
          </w:p>
        </w:tc>
      </w:tr>
      <w:tr>
        <w:tc>
          <w:tcPr>
            <w:vMerge w:val="continue"/>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A7">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Aumento riesgo de pérdidas económicas por nuevas actividades agrícolas</w:t>
            </w:r>
          </w:p>
        </w:tc>
        <w:tc>
          <w:tcPr/>
          <w:p w:rsidR="00000000" w:rsidDel="00000000" w:rsidP="00000000" w:rsidRDefault="00000000" w:rsidRPr="00000000" w14:paraId="000001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Muy Alto</w:t>
            </w:r>
          </w:p>
        </w:tc>
      </w:tr>
      <w:tr>
        <w:tc>
          <w:tcPr>
            <w:vMerge w:val="continue"/>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AA">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Enfermedades en cultivos</w:t>
            </w:r>
          </w:p>
        </w:tc>
        <w:tc>
          <w:tcPr/>
          <w:p w:rsidR="00000000" w:rsidDel="00000000" w:rsidP="00000000" w:rsidRDefault="00000000" w:rsidRPr="00000000" w14:paraId="000001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Alto</w:t>
            </w:r>
          </w:p>
        </w:tc>
      </w:tr>
      <w:tr>
        <w:tc>
          <w:tcPr>
            <w:vMerge w:val="continue"/>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AD">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Excesos de precipitación afectan infraestructura (bocatomas y vías)</w:t>
            </w:r>
          </w:p>
        </w:tc>
        <w:tc>
          <w:tcPr/>
          <w:p w:rsidR="00000000" w:rsidDel="00000000" w:rsidP="00000000" w:rsidRDefault="00000000" w:rsidRPr="00000000" w14:paraId="000001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Muy Alto</w:t>
            </w:r>
          </w:p>
        </w:tc>
      </w:tr>
      <w:tr>
        <w:tc>
          <w:tcPr>
            <w:vMerge w:val="continue"/>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B0">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Recuperación de suelos ha favorecido biodiversidad en zonas altas</w:t>
            </w:r>
          </w:p>
        </w:tc>
        <w:tc>
          <w:tcPr/>
          <w:p w:rsidR="00000000" w:rsidDel="00000000" w:rsidP="00000000" w:rsidRDefault="00000000" w:rsidRPr="00000000" w14:paraId="000001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Alto</w:t>
            </w:r>
          </w:p>
        </w:tc>
      </w:tr>
      <w:tr>
        <w:tc>
          <w:tcPr>
            <w:vMerge w:val="continue"/>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B3">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Turismo como alternativa de uso de suelo y actividad económica</w:t>
            </w:r>
          </w:p>
        </w:tc>
        <w:tc>
          <w:tcPr/>
          <w:p w:rsidR="00000000" w:rsidDel="00000000" w:rsidP="00000000" w:rsidRDefault="00000000" w:rsidRPr="00000000" w14:paraId="000001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Alto</w:t>
            </w:r>
          </w:p>
        </w:tc>
      </w:tr>
      <w:tr>
        <w:tc>
          <w:tcPr>
            <w:vMerge w:val="continue"/>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B6">
            <w:pPr>
              <w:rPr>
                <w:rFonts w:ascii="Arial Narrow" w:cs="Arial Narrow" w:eastAsia="Arial Narrow" w:hAnsi="Arial Narrow"/>
                <w:color w:val="333333"/>
                <w:sz w:val="20"/>
                <w:szCs w:val="20"/>
              </w:rPr>
            </w:pPr>
            <w:r w:rsidDel="00000000" w:rsidR="00000000" w:rsidRPr="00000000">
              <w:rPr>
                <w:rFonts w:ascii="Arial Narrow" w:cs="Arial Narrow" w:eastAsia="Arial Narrow" w:hAnsi="Arial Narrow"/>
                <w:color w:val="333333"/>
                <w:sz w:val="20"/>
                <w:szCs w:val="20"/>
                <w:rtl w:val="0"/>
              </w:rPr>
              <w:t xml:space="preserve">Nuevos esquemas de protección (áreas protegidas, reservas sociedad civil) favorecen biodiversidad + favorece servicios ecosistémicos</w:t>
            </w:r>
          </w:p>
        </w:tc>
        <w:tc>
          <w:tcPr/>
          <w:p w:rsidR="00000000" w:rsidDel="00000000" w:rsidP="00000000" w:rsidRDefault="00000000" w:rsidRPr="00000000" w14:paraId="000001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Muy Alto</w:t>
            </w:r>
          </w:p>
        </w:tc>
      </w:tr>
      <w:tr>
        <w:tc>
          <w:tcPr>
            <w:gridSpan w:val="2"/>
          </w:tcPr>
          <w:p w:rsidR="00000000" w:rsidDel="00000000" w:rsidP="00000000" w:rsidRDefault="00000000" w:rsidRPr="00000000" w14:paraId="000001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Global</w:t>
            </w:r>
          </w:p>
        </w:tc>
        <w:tc>
          <w:tcPr/>
          <w:p w:rsidR="00000000" w:rsidDel="00000000" w:rsidP="00000000" w:rsidRDefault="00000000" w:rsidRPr="00000000" w14:paraId="000001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Alto</w:t>
            </w:r>
          </w:p>
        </w:tc>
      </w:tr>
    </w:tbl>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qsh70q" w:id="26"/>
      <w:bookmarkEnd w:id="26"/>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6. Principales riesgos estimados relacionados con la variabilidad climática (VC) y cambio climático (CC) para el AR Alto del Rey.</w:t>
      </w:r>
      <w:r w:rsidDel="00000000" w:rsidR="00000000" w:rsidRPr="00000000">
        <w:rPr>
          <w:rtl w:val="0"/>
        </w:rPr>
      </w:r>
    </w:p>
    <w:p w:rsidR="00000000" w:rsidDel="00000000" w:rsidP="00000000" w:rsidRDefault="00000000" w:rsidRPr="00000000" w14:paraId="000001B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AR es categorizado con una vulnerabilidad media para biodiversidad y comunidades y medios de vida, para recurso hídrico y misceláneo la calificación es alta. Se consolida de este modo una vulnerabilidad global media.</w:t>
      </w:r>
    </w:p>
    <w:p w:rsidR="00000000" w:rsidDel="00000000" w:rsidP="00000000" w:rsidRDefault="00000000" w:rsidRPr="00000000" w14:paraId="000001B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de Recreación (AR) Alto del Rey es una de las principales áreas de interés ambiental del municipio. De acuerdo al ejercicio desarrollado por CARDER y WWF (2014) el 100% del área protegida permanecerá estable su humedad. Se destaca para la sub-cuenca hidrográfica río Risaralda, una pérdida en la escorrentía promedio anual a 2040 de 27,63%. Al valorar la capacidad de adaptación el Área de Recreación Alto del Rey, el índice de capacidad de adaptación institucional y eco sistémico es medio (CARDER - WWF Colombia, 2014). </w:t>
      </w:r>
    </w:p>
    <w:p w:rsidR="00000000" w:rsidDel="00000000" w:rsidP="00000000" w:rsidRDefault="00000000" w:rsidRPr="00000000" w14:paraId="000001BF">
      <w:pPr>
        <w:rPr>
          <w:rFonts w:ascii="Arial Narrow" w:cs="Arial Narrow" w:eastAsia="Arial Narrow" w:hAnsi="Arial Narrow"/>
          <w:b w:val="1"/>
          <w:sz w:val="24"/>
          <w:szCs w:val="24"/>
        </w:rPr>
      </w:pPr>
      <w:r w:rsidDel="00000000" w:rsidR="00000000" w:rsidRPr="00000000">
        <w:rPr>
          <w:rtl w:val="0"/>
        </w:rPr>
      </w:r>
    </w:p>
    <w:tbl>
      <w:tblPr>
        <w:tblStyle w:val="Table6"/>
        <w:tblW w:w="92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4"/>
        <w:gridCol w:w="5251"/>
        <w:tblGridChange w:id="0">
          <w:tblGrid>
            <w:gridCol w:w="3964"/>
            <w:gridCol w:w="5251"/>
          </w:tblGrid>
        </w:tblGridChange>
      </w:tblGrid>
      <w:t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C0">
            <w:pPr>
              <w:jc w:val="center"/>
              <w:rPr>
                <w:rFonts w:ascii="Arial Narrow" w:cs="Arial Narrow" w:eastAsia="Arial Narrow" w:hAnsi="Arial Narrow"/>
                <w:b w:val="1"/>
                <w:sz w:val="20"/>
                <w:szCs w:val="20"/>
              </w:rPr>
            </w:pPr>
            <w:bookmarkStart w:colFirst="0" w:colLast="0" w:name="_heading=h.3as4poj" w:id="27"/>
            <w:bookmarkEnd w:id="27"/>
            <w:r w:rsidDel="00000000" w:rsidR="00000000" w:rsidRPr="00000000">
              <w:rPr>
                <w:rFonts w:ascii="Arial Narrow" w:cs="Arial Narrow" w:eastAsia="Arial Narrow" w:hAnsi="Arial Narrow"/>
                <w:b w:val="1"/>
                <w:sz w:val="20"/>
                <w:szCs w:val="20"/>
                <w:rtl w:val="0"/>
              </w:rPr>
              <w:t xml:space="preserve">Efectos de cambio climático </w:t>
            </w:r>
          </w:p>
        </w:tc>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Manifestaciones a escala territorial</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jc w:val="center"/>
              <w:rPr>
                <w:rFonts w:ascii="Arial Narrow" w:cs="Arial Narrow" w:eastAsia="Arial Narrow" w:hAnsi="Arial Narrow"/>
                <w:sz w:val="20"/>
                <w:szCs w:val="20"/>
              </w:rPr>
            </w:pPr>
            <w:r w:rsidDel="00000000" w:rsidR="00000000" w:rsidRPr="00000000">
              <w:rPr>
                <w:rtl w:val="0"/>
              </w:rPr>
            </w:r>
          </w:p>
        </w:tc>
      </w:tr>
      <w:tr>
        <w:trPr>
          <w:trHeight w:val="5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Afectación y pérdida de ecosistemas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Cambios fenológicos en especies de flora y fauna</w:t>
            </w:r>
          </w:p>
        </w:tc>
      </w:tr>
      <w:tr>
        <w:trPr>
          <w:trHeight w:val="13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Afectación por inundaciones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Desabastecimiento hídrico</w:t>
            </w:r>
          </w:p>
        </w:tc>
      </w:tr>
      <w:tr>
        <w:trPr>
          <w:trHeight w:val="32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Pérdida de coberturas vegetales por incendios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Afectación por Vendavales, Heladas y Granizadas</w:t>
            </w:r>
          </w:p>
        </w:tc>
      </w:tr>
      <w:tr>
        <w:trPr>
          <w:trHeight w:val="272" w:hRule="atLeast"/>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Afectación por deslizamiento</w:t>
            </w:r>
          </w:p>
        </w:tc>
      </w:tr>
    </w:tbl>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1pxezwc" w:id="28"/>
      <w:bookmarkEnd w:id="28"/>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7. Manifestaciones del cambio climático en el AR Alto del Rey</w:t>
      </w:r>
      <w:r w:rsidDel="00000000" w:rsidR="00000000" w:rsidRPr="00000000">
        <w:rPr>
          <w:rtl w:val="0"/>
        </w:rPr>
      </w:r>
    </w:p>
    <w:p w:rsidR="00000000" w:rsidDel="00000000" w:rsidP="00000000" w:rsidRDefault="00000000" w:rsidRPr="00000000" w14:paraId="000001CD">
      <w:pPr>
        <w:ind w:left="-142"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área protegida se identifican presiones que pueden exacerbar los impactos asociados al comportamiento de las variables climáticas, como las quemas agrícolas, calificada con un impacto “alto”, y el turismo no regulado, calificado con un impacto “moderado” y un incremento “fuerte”. (Metodología WWF, 2000).</w:t>
      </w:r>
    </w:p>
    <w:p w:rsidR="00000000" w:rsidDel="00000000" w:rsidP="00000000" w:rsidRDefault="00000000" w:rsidRPr="00000000" w14:paraId="000001CE">
      <w:pPr>
        <w:ind w:left="-142"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F">
      <w:pPr>
        <w:ind w:left="-142"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0">
      <w:pPr>
        <w:ind w:left="-142"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1">
      <w:pPr>
        <w:ind w:left="-142"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2">
      <w:pPr>
        <w:ind w:left="-142"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3">
      <w:pPr>
        <w:jc w:val="both"/>
        <w:rPr>
          <w:rFonts w:ascii="Arial Narrow" w:cs="Arial Narrow" w:eastAsia="Arial Narrow" w:hAnsi="Arial Narrow"/>
          <w:sz w:val="24"/>
          <w:szCs w:val="24"/>
        </w:rPr>
      </w:pPr>
      <w:r w:rsidDel="00000000" w:rsidR="00000000" w:rsidRPr="00000000">
        <w:rPr>
          <w:rtl w:val="0"/>
        </w:rPr>
      </w:r>
    </w:p>
    <w:tbl>
      <w:tblPr>
        <w:tblStyle w:val="Table7"/>
        <w:tblW w:w="89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9"/>
        <w:gridCol w:w="2552"/>
        <w:tblGridChange w:id="0">
          <w:tblGrid>
            <w:gridCol w:w="6379"/>
            <w:gridCol w:w="2552"/>
          </w:tblGrid>
        </w:tblGridChange>
      </w:tblGrid>
      <w:tr>
        <w:tc>
          <w:tcPr>
            <w:shd w:fill="c5e0b3" w:val="clear"/>
            <w:vAlign w:val="bottom"/>
          </w:tcPr>
          <w:p w:rsidR="00000000" w:rsidDel="00000000" w:rsidP="00000000" w:rsidRDefault="00000000" w:rsidRPr="00000000" w14:paraId="000001D4">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Descripción de la Presión</w:t>
            </w:r>
          </w:p>
        </w:tc>
        <w:tc>
          <w:tcPr>
            <w:shd w:fill="c5e0b3" w:val="clear"/>
            <w:vAlign w:val="bottom"/>
          </w:tcPr>
          <w:p w:rsidR="00000000" w:rsidDel="00000000" w:rsidP="00000000" w:rsidRDefault="00000000" w:rsidRPr="00000000" w14:paraId="000001D5">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Fuente que la genera</w:t>
            </w:r>
          </w:p>
        </w:tc>
      </w:tr>
      <w:tr>
        <w:tc>
          <w:tcPr/>
          <w:p w:rsidR="00000000" w:rsidDel="00000000" w:rsidP="00000000" w:rsidRDefault="00000000" w:rsidRPr="00000000" w14:paraId="000001D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color w:val="000000"/>
                <w:sz w:val="20"/>
                <w:szCs w:val="20"/>
                <w:rtl w:val="0"/>
              </w:rPr>
              <w:t xml:space="preserve">Quemas agrícolas: </w:t>
            </w:r>
            <w:r w:rsidDel="00000000" w:rsidR="00000000" w:rsidRPr="00000000">
              <w:rPr>
                <w:rFonts w:ascii="Arial Narrow" w:cs="Arial Narrow" w:eastAsia="Arial Narrow" w:hAnsi="Arial Narrow"/>
                <w:color w:val="000000"/>
                <w:sz w:val="20"/>
                <w:szCs w:val="20"/>
                <w:rtl w:val="0"/>
              </w:rPr>
              <w:t xml:space="preserve">En los predios aledaños al área protegida se realizan prácticas de quemas agrícolas para preparar los terrenos para cultivos de café.</w:t>
            </w:r>
            <w:r w:rsidDel="00000000" w:rsidR="00000000" w:rsidRPr="00000000">
              <w:rPr>
                <w:rtl w:val="0"/>
              </w:rPr>
            </w:r>
          </w:p>
        </w:tc>
        <w:tc>
          <w:tcPr/>
          <w:p w:rsidR="00000000" w:rsidDel="00000000" w:rsidP="00000000" w:rsidRDefault="00000000" w:rsidRPr="00000000" w14:paraId="000001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Prácticas agrícolas incompatibles</w:t>
            </w:r>
          </w:p>
        </w:tc>
      </w:tr>
      <w:tr>
        <w:tc>
          <w:tcPr/>
          <w:p w:rsidR="00000000" w:rsidDel="00000000" w:rsidP="00000000" w:rsidRDefault="00000000" w:rsidRPr="00000000" w14:paraId="000001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Turismo no regulado: </w:t>
            </w:r>
            <w:r w:rsidDel="00000000" w:rsidR="00000000" w:rsidRPr="00000000">
              <w:rPr>
                <w:rFonts w:ascii="Arial Narrow" w:cs="Arial Narrow" w:eastAsia="Arial Narrow" w:hAnsi="Arial Narrow"/>
                <w:sz w:val="20"/>
                <w:szCs w:val="20"/>
                <w:rtl w:val="0"/>
              </w:rPr>
              <w:t xml:space="preserve">Al área protegida ingresan personas sin una información previa sobre los procesos de conservación, dejando basura o en algunas ocasiones dañando los pasamanos.</w:t>
            </w:r>
          </w:p>
        </w:tc>
        <w:tc>
          <w:tcPr/>
          <w:p w:rsidR="00000000" w:rsidDel="00000000" w:rsidP="00000000" w:rsidRDefault="00000000" w:rsidRPr="00000000" w14:paraId="000001D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Regulación débil de las actividades ecoturísticas.</w:t>
            </w:r>
          </w:p>
          <w:p w:rsidR="00000000" w:rsidDel="00000000" w:rsidP="00000000" w:rsidRDefault="00000000" w:rsidRPr="00000000" w14:paraId="000001DA">
            <w:pPr>
              <w:jc w:val="center"/>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D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Ampliación de la Frontera Agrícola: los predios aledaños van ampliando  sus áreas de cultivos hacia la zona protegida, acabando con la biodiversidad de las especies forestales y especies de fauna</w:t>
            </w:r>
          </w:p>
        </w:tc>
        <w:tc>
          <w:tcPr/>
          <w:p w:rsidR="00000000" w:rsidDel="00000000" w:rsidP="00000000" w:rsidRDefault="00000000" w:rsidRPr="00000000" w14:paraId="000001D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Incremento de zonas de cultivo</w:t>
            </w:r>
          </w:p>
        </w:tc>
      </w:tr>
      <w:tr>
        <w:tc>
          <w:tcPr/>
          <w:p w:rsidR="00000000" w:rsidDel="00000000" w:rsidP="00000000" w:rsidRDefault="00000000" w:rsidRPr="00000000" w14:paraId="000001DD">
            <w:pPr>
              <w:jc w:val="both"/>
              <w:rPr>
                <w:rFonts w:ascii="Arial Narrow" w:cs="Arial Narrow" w:eastAsia="Arial Narrow" w:hAnsi="Arial Narrow"/>
                <w:i w:val="1"/>
                <w:sz w:val="20"/>
                <w:szCs w:val="20"/>
              </w:rPr>
            </w:pPr>
            <w:r w:rsidDel="00000000" w:rsidR="00000000" w:rsidRPr="00000000">
              <w:rPr>
                <w:rtl w:val="0"/>
              </w:rPr>
            </w:r>
          </w:p>
        </w:tc>
        <w:tc>
          <w:tcPr/>
          <w:p w:rsidR="00000000" w:rsidDel="00000000" w:rsidP="00000000" w:rsidRDefault="00000000" w:rsidRPr="00000000" w14:paraId="000001DE">
            <w:pPr>
              <w:jc w:val="center"/>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49x2ik5" w:id="29"/>
      <w:bookmarkEnd w:id="29"/>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8. Caracterización y fuente de las presiones identificadas en el AR Alto del Rey</w:t>
      </w: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2p2csry" w:id="30"/>
      <w:bookmarkEnd w:id="30"/>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Potencialidades de captura de GEI en el área protegida </w:t>
      </w:r>
    </w:p>
    <w:p w:rsidR="00000000" w:rsidDel="00000000" w:rsidP="00000000" w:rsidRDefault="00000000" w:rsidRPr="00000000" w14:paraId="000001E1">
      <w:pPr>
        <w:jc w:val="both"/>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i w:val="1"/>
          <w:color w:val="000000"/>
          <w:sz w:val="24"/>
          <w:szCs w:val="24"/>
          <w:rtl w:val="0"/>
        </w:rPr>
        <w:t xml:space="preserve">Tipo de Bosque</w:t>
      </w:r>
    </w:p>
    <w:p w:rsidR="00000000" w:rsidDel="00000000" w:rsidP="00000000" w:rsidRDefault="00000000" w:rsidRPr="00000000" w14:paraId="000001E2">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E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En el área protegida AR Alto del Rey, están representados por el bosque subandino húmedo y muy húmedo vertiente Oriental de la Cordillera Occidental, con el 14,9% (21 hectáreas) y el mismo ecosistema húmedo y muy húmedo, pero fragmentado con el 15,4% (21 hectáreas) .Estos bosques de la vertiente oriental de La Cordillera Occidental, tienen un rango altitudinal aproximado entre 1100</w:t>
      </w:r>
      <w:r w:rsidDel="00000000" w:rsidR="00000000" w:rsidRPr="00000000">
        <w:rPr>
          <w:rFonts w:ascii="Arial Narrow" w:cs="Arial Narrow" w:eastAsia="Arial Narrow" w:hAnsi="Arial Narrow"/>
          <w:sz w:val="24"/>
          <w:szCs w:val="24"/>
          <w:rtl w:val="0"/>
        </w:rPr>
        <w:t xml:space="preserve"> - 2200 msnm, la precipitación media anual es de 2100 mm y la temperatura media es de 21,8 ˚C. (WWF, WCS, 2013, Clasificación de Ecosistemas Naturales Terrestres del Eje Cafetero). Estos ecosistemas del área protegida han tenido procesos de transformación, por las diferentes actividades antrópicas, pero en la actualidad se encuentra con proceso de</w:t>
      </w:r>
      <w:r w:rsidDel="00000000" w:rsidR="00000000" w:rsidRPr="00000000">
        <w:rPr>
          <w:rtl w:val="0"/>
        </w:rPr>
        <w:t xml:space="preserve"> </w:t>
      </w:r>
      <w:r w:rsidDel="00000000" w:rsidR="00000000" w:rsidRPr="00000000">
        <w:rPr>
          <w:rFonts w:ascii="Arial Narrow" w:cs="Arial Narrow" w:eastAsia="Arial Narrow" w:hAnsi="Arial Narrow"/>
          <w:sz w:val="24"/>
          <w:szCs w:val="24"/>
          <w:rtl w:val="0"/>
        </w:rPr>
        <w:t xml:space="preserve">regeneración natural muy avanzados.</w:t>
      </w:r>
    </w:p>
    <w:p w:rsidR="00000000" w:rsidDel="00000000" w:rsidP="00000000" w:rsidRDefault="00000000" w:rsidRPr="00000000" w14:paraId="000001E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al análisis multitemporal de cambios de uso del suelo del AR Alto del Rey, entre el periodo 2011 y 2016, las áreas agrícolas heterogéneas, especialmente los mosaicos de cultivos, disminuyeron al 2016 el 13% y los pastos el 26%, aumentando las áreas de cultivos permanentes como café en 13% y el bosque se incrementó el 25%, especialmente el denso.</w:t>
      </w:r>
    </w:p>
    <w:p w:rsidR="00000000" w:rsidDel="00000000" w:rsidP="00000000" w:rsidRDefault="00000000" w:rsidRPr="00000000" w14:paraId="000001E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Con respecto a lo anterior y a partir de lo establecido en el documento “estimación de las reservas actuales (2010) de carbono almacenadas en la biomasa aérea en bosques naturales de Colombia</w:t>
      </w:r>
      <w:r w:rsidDel="00000000" w:rsidR="00000000" w:rsidRPr="00000000">
        <w:rPr>
          <w:rFonts w:ascii="Arial Narrow" w:cs="Arial Narrow" w:eastAsia="Arial Narrow" w:hAnsi="Arial Narrow"/>
          <w:sz w:val="24"/>
          <w:szCs w:val="24"/>
          <w:vertAlign w:val="superscript"/>
        </w:rPr>
        <w:footnoteReference w:customMarkFollows="0" w:id="1"/>
      </w:r>
      <w:r w:rsidDel="00000000" w:rsidR="00000000" w:rsidRPr="00000000">
        <w:rPr>
          <w:rFonts w:ascii="Arial Narrow" w:cs="Arial Narrow" w:eastAsia="Arial Narrow" w:hAnsi="Arial Narrow"/>
          <w:sz w:val="24"/>
          <w:szCs w:val="24"/>
          <w:rtl w:val="0"/>
        </w:rPr>
        <w:t xml:space="preserve"> (IDEAM) y de acuerdo la clasificación por zonas de vida propuesta por Holdridge (1967), el AR Alto del Rey cuenta con aproximadamente 47,25 hectáreas de </w:t>
      </w:r>
      <w:r w:rsidDel="00000000" w:rsidR="00000000" w:rsidRPr="00000000">
        <w:rPr>
          <w:rFonts w:ascii="Arial Narrow" w:cs="Arial Narrow" w:eastAsia="Arial Narrow" w:hAnsi="Arial Narrow"/>
          <w:color w:val="000000"/>
          <w:sz w:val="24"/>
          <w:szCs w:val="24"/>
          <w:rtl w:val="0"/>
        </w:rPr>
        <w:t xml:space="preserve">bosque, teniendo en cuenta, el incremento registrado en el periodo 2011-2016, el cual que puede clasificarse como “Bosque muy húmedo premontano”.</w:t>
      </w:r>
    </w:p>
    <w:p w:rsidR="00000000" w:rsidDel="00000000" w:rsidP="00000000" w:rsidRDefault="00000000" w:rsidRPr="00000000" w14:paraId="000001E8">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E9">
      <w:pPr>
        <w:jc w:val="both"/>
        <w:rPr>
          <w:rFonts w:ascii="Arial Narrow" w:cs="Arial Narrow" w:eastAsia="Arial Narrow" w:hAnsi="Arial Narrow"/>
          <w:sz w:val="24"/>
          <w:szCs w:val="24"/>
        </w:rPr>
      </w:pPr>
      <w:bookmarkStart w:colFirst="0" w:colLast="0" w:name="_heading=h.147n2zr" w:id="31"/>
      <w:bookmarkEnd w:id="31"/>
      <w:r w:rsidDel="00000000" w:rsidR="00000000" w:rsidRPr="00000000">
        <w:rPr>
          <w:rFonts w:ascii="Arial Narrow" w:cs="Arial Narrow" w:eastAsia="Arial Narrow" w:hAnsi="Arial Narrow"/>
          <w:sz w:val="24"/>
          <w:szCs w:val="24"/>
          <w:rtl w:val="0"/>
        </w:rPr>
        <w:t xml:space="preserve">Para este tipo de bosque y teniendo en cuenta los resultados de la estimación de las reservas de carbono almacenadas en la biomasa, se ha estimado una reserva promedio de 91,5 toneladas de carbono por hectárea, lo que indica que la reserva de carbono para este bosque es alrededor de 4.322 toneladas de carbono, que representan 15.861 toneladas de dióxido de carbono equivalente, que aún no han sido emitidas a la atmosfera y se encuentra almacenando en los bosques del área protegida.</w:t>
      </w:r>
    </w:p>
    <w:p w:rsidR="00000000" w:rsidDel="00000000" w:rsidP="00000000" w:rsidRDefault="00000000" w:rsidRPr="00000000" w14:paraId="000001E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B">
      <w:pPr>
        <w:pStyle w:val="Heading3"/>
        <w:rPr/>
      </w:pPr>
      <w:bookmarkStart w:colFirst="0" w:colLast="0" w:name="_heading=h.3o7alnk" w:id="32"/>
      <w:bookmarkEnd w:id="32"/>
      <w:r w:rsidDel="00000000" w:rsidR="00000000" w:rsidRPr="00000000">
        <w:rPr>
          <w:rtl w:val="0"/>
        </w:rPr>
        <w:t xml:space="preserve">1.1.3. Gestión del riesgo de incendios de cobertura vegetal.</w:t>
      </w:r>
    </w:p>
    <w:p w:rsidR="00000000" w:rsidDel="00000000" w:rsidP="00000000" w:rsidRDefault="00000000" w:rsidRPr="00000000" w14:paraId="000001E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Contexto Normativo y de política pública.</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rsidR="00000000" w:rsidDel="00000000" w:rsidP="00000000" w:rsidRDefault="00000000" w:rsidRPr="00000000" w14:paraId="000001F0">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rsidR="00000000" w:rsidDel="00000000" w:rsidP="00000000" w:rsidRDefault="00000000" w:rsidRPr="00000000" w14:paraId="000001F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rsidR="00000000" w:rsidDel="00000000" w:rsidP="00000000" w:rsidRDefault="00000000" w:rsidRPr="00000000" w14:paraId="000001F4">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5">
      <w:pPr>
        <w:spacing w:line="240" w:lineRule="auto"/>
        <w:jc w:val="both"/>
        <w:rPr>
          <w:rFonts w:ascii="Arial Narrow" w:cs="Arial Narrow" w:eastAsia="Arial Narrow" w:hAnsi="Arial Narrow"/>
          <w:sz w:val="24"/>
          <w:szCs w:val="24"/>
        </w:rPr>
      </w:pPr>
      <w:r w:rsidDel="00000000" w:rsidR="00000000" w:rsidRPr="00000000">
        <w:rPr>
          <w:rtl w:val="0"/>
        </w:rPr>
      </w:r>
    </w:p>
    <w:tbl>
      <w:tblPr>
        <w:tblStyle w:val="Table8"/>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c>
          <w:tcPr>
            <w:gridSpan w:val="2"/>
          </w:tcPr>
          <w:p w:rsidR="00000000" w:rsidDel="00000000" w:rsidP="00000000" w:rsidRDefault="00000000" w:rsidRPr="00000000" w14:paraId="000001F6">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 acuerdo a la Comisión Permanente de Incendios de Cobertura Vegetal de Risaralda, los términos y conceptos asociados a la gestión del riesgo de incendios se definen de la siguiente manera:</w:t>
            </w:r>
          </w:p>
        </w:tc>
      </w:tr>
      <w:tr>
        <w:tc>
          <w:tcPr/>
          <w:p w:rsidR="00000000" w:rsidDel="00000000" w:rsidP="00000000" w:rsidRDefault="00000000" w:rsidRPr="00000000" w14:paraId="000001F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i w:val="1"/>
                <w:sz w:val="20"/>
                <w:szCs w:val="20"/>
                <w:rtl w:val="0"/>
              </w:rPr>
              <w:t xml:space="preserve">Quema: </w:t>
            </w:r>
            <w:r w:rsidDel="00000000" w:rsidR="00000000" w:rsidRPr="00000000">
              <w:rPr>
                <w:rFonts w:ascii="Arial Narrow" w:cs="Arial Narrow" w:eastAsia="Arial Narrow" w:hAnsi="Arial Narrow"/>
                <w:sz w:val="20"/>
                <w:szCs w:val="20"/>
                <w:rtl w:val="0"/>
              </w:rPr>
              <w:t xml:space="preserve">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r w:rsidDel="00000000" w:rsidR="00000000" w:rsidRPr="00000000">
              <w:rPr>
                <w:rtl w:val="0"/>
              </w:rPr>
            </w:r>
          </w:p>
        </w:tc>
        <w:tc>
          <w:tcPr/>
          <w:p w:rsidR="00000000" w:rsidDel="00000000" w:rsidP="00000000" w:rsidRDefault="00000000" w:rsidRPr="00000000" w14:paraId="000001F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Incendio forestal: </w:t>
            </w:r>
            <w:r w:rsidDel="00000000" w:rsidR="00000000" w:rsidRPr="00000000">
              <w:rPr>
                <w:rFonts w:ascii="Arial Narrow" w:cs="Arial Narrow" w:eastAsia="Arial Narrow" w:hAnsi="Arial Narrow"/>
                <w:sz w:val="20"/>
                <w:szCs w:val="20"/>
                <w:rtl w:val="0"/>
              </w:rPr>
              <w:t xml:space="preserve">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r w:rsidDel="00000000" w:rsidR="00000000" w:rsidRPr="00000000">
              <w:rPr>
                <w:rtl w:val="0"/>
              </w:rPr>
            </w:r>
          </w:p>
        </w:tc>
      </w:tr>
      <w:tr>
        <w:tc>
          <w:tcPr/>
          <w:p w:rsidR="00000000" w:rsidDel="00000000" w:rsidP="00000000" w:rsidRDefault="00000000" w:rsidRPr="00000000" w14:paraId="000001F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Incendio de Cultivos Agrícolas Leñosos</w:t>
            </w:r>
            <w:r w:rsidDel="00000000" w:rsidR="00000000" w:rsidRPr="00000000">
              <w:rPr>
                <w:rFonts w:ascii="Arial Narrow" w:cs="Arial Narrow" w:eastAsia="Arial Narrow" w:hAnsi="Arial Narrow"/>
                <w:sz w:val="20"/>
                <w:szCs w:val="20"/>
                <w:rtl w:val="0"/>
              </w:rPr>
              <w:t xml:space="preserve">: Fuego que se extiende libremente sin control ni límites preestablecidos, afectando cultivos agrícolas leñosos.</w:t>
            </w:r>
          </w:p>
        </w:tc>
        <w:tc>
          <w:tcPr/>
          <w:p w:rsidR="00000000" w:rsidDel="00000000" w:rsidP="00000000" w:rsidRDefault="00000000" w:rsidRPr="00000000" w14:paraId="000001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Conato:</w:t>
            </w:r>
            <w:r w:rsidDel="00000000" w:rsidR="00000000" w:rsidRPr="00000000">
              <w:rPr>
                <w:rFonts w:ascii="Arial Narrow" w:cs="Arial Narrow" w:eastAsia="Arial Narrow" w:hAnsi="Arial Narrow"/>
                <w:sz w:val="20"/>
                <w:szCs w:val="20"/>
                <w:rtl w:val="0"/>
              </w:rPr>
              <w:t xml:space="preserve"> Es el inicio de un fuego que presenta poca dificultad para su control, pero que puede convertirse en una quema o incendio forestal.</w:t>
            </w:r>
          </w:p>
        </w:tc>
      </w:tr>
    </w:tbl>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3ckvvd" w:id="33"/>
      <w:bookmarkEnd w:id="33"/>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9. Conceptos básicos relacionados con incendios de cobertura vegetal</w:t>
      </w:r>
      <w:r w:rsidDel="00000000" w:rsidR="00000000" w:rsidRPr="00000000">
        <w:rPr>
          <w:rtl w:val="0"/>
        </w:rPr>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Factores de Amenaza</w:t>
      </w:r>
    </w:p>
    <w:p w:rsidR="00000000" w:rsidDel="00000000" w:rsidP="00000000" w:rsidRDefault="00000000" w:rsidRPr="00000000" w14:paraId="000001FE">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i w:val="1"/>
          <w:sz w:val="24"/>
          <w:szCs w:val="24"/>
          <w:rtl w:val="0"/>
        </w:rPr>
        <w:t xml:space="preserve">Variabilidad y cambio climático: En</w:t>
      </w:r>
      <w:r w:rsidDel="00000000" w:rsidR="00000000" w:rsidRPr="00000000">
        <w:rPr>
          <w:rFonts w:ascii="Arial Narrow" w:cs="Arial Narrow" w:eastAsia="Arial Narrow" w:hAnsi="Arial Narrow"/>
          <w:sz w:val="24"/>
          <w:szCs w:val="24"/>
          <w:rtl w:val="0"/>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r w:rsidDel="00000000" w:rsidR="00000000" w:rsidRPr="00000000">
        <w:rPr>
          <w:rtl w:val="0"/>
        </w:rPr>
      </w:r>
    </w:p>
    <w:p w:rsidR="00000000" w:rsidDel="00000000" w:rsidP="00000000" w:rsidRDefault="00000000" w:rsidRPr="00000000" w14:paraId="000001FF">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0">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i w:val="1"/>
          <w:sz w:val="24"/>
          <w:szCs w:val="24"/>
          <w:rtl w:val="0"/>
        </w:rPr>
        <w:t xml:space="preserve">Quemas sector agropecuario:</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r w:rsidDel="00000000" w:rsidR="00000000" w:rsidRPr="00000000">
        <w:rPr>
          <w:rtl w:val="0"/>
        </w:rPr>
      </w:r>
    </w:p>
    <w:p w:rsidR="00000000" w:rsidDel="00000000" w:rsidP="00000000" w:rsidRDefault="00000000" w:rsidRPr="00000000" w14:paraId="00000201">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2">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i w:val="1"/>
          <w:sz w:val="24"/>
          <w:szCs w:val="24"/>
          <w:rtl w:val="0"/>
        </w:rPr>
        <w:t xml:space="preserve">Actividades turísticas y festividades:</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r w:rsidDel="00000000" w:rsidR="00000000" w:rsidRPr="00000000">
        <w:rPr>
          <w:rtl w:val="0"/>
        </w:rPr>
      </w:r>
    </w:p>
    <w:p w:rsidR="00000000" w:rsidDel="00000000" w:rsidP="00000000" w:rsidRDefault="00000000" w:rsidRPr="00000000" w14:paraId="00000203">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al Plan de Manejo del PNN Los Nevados, el 5% del total de incendios presentados en el parque, son directamente vinculados con la actividad de pesca y causados por la realización de fogatas. De otro lado, las festividades patronales, navideñas, candeladas, entre otras, siguen aportando a la ocurrencia de incendios debido a la utilización de globos y pólvora. (CARDER, 2017)</w:t>
      </w:r>
    </w:p>
    <w:p w:rsidR="00000000" w:rsidDel="00000000" w:rsidP="00000000" w:rsidRDefault="00000000" w:rsidRPr="00000000" w14:paraId="00000205">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Factores de vulnerabilidad</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Vulnerabilidad socioeconómica y ambiental a incendios de cobertura vegetal: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r w:rsidDel="00000000" w:rsidR="00000000" w:rsidRPr="00000000">
        <w:rPr>
          <w:rtl w:val="0"/>
        </w:rPr>
      </w:r>
    </w:p>
    <w:p w:rsidR="00000000" w:rsidDel="00000000" w:rsidP="00000000" w:rsidRDefault="00000000" w:rsidRPr="00000000" w14:paraId="00000209">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A">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6023231" cy="2136239"/>
            <wp:effectExtent b="0" l="0" r="0" t="0"/>
            <wp:docPr id="764" name="image5.png"/>
            <a:graphic>
              <a:graphicData uri="http://schemas.openxmlformats.org/drawingml/2006/picture">
                <pic:pic>
                  <pic:nvPicPr>
                    <pic:cNvPr id="0" name="image5.png"/>
                    <pic:cNvPicPr preferRelativeResize="0"/>
                  </pic:nvPicPr>
                  <pic:blipFill>
                    <a:blip r:embed="rId19"/>
                    <a:srcRect b="39021" l="25968" r="10387" t="20829"/>
                    <a:stretch>
                      <a:fillRect/>
                    </a:stretch>
                  </pic:blipFill>
                  <pic:spPr>
                    <a:xfrm>
                      <a:off x="0" y="0"/>
                      <a:ext cx="6023231" cy="2136239"/>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Prioridad 1:</w:t>
      </w:r>
      <w:r w:rsidDel="00000000" w:rsidR="00000000" w:rsidRPr="00000000">
        <w:rPr>
          <w:rFonts w:ascii="Arial Narrow" w:cs="Arial Narrow" w:eastAsia="Arial Narrow" w:hAnsi="Arial Narrow"/>
          <w:sz w:val="24"/>
          <w:szCs w:val="24"/>
          <w:rtl w:val="0"/>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rsidR="00000000" w:rsidDel="00000000" w:rsidP="00000000" w:rsidRDefault="00000000" w:rsidRPr="00000000" w14:paraId="0000020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Prioridad 2:</w:t>
      </w:r>
      <w:r w:rsidDel="00000000" w:rsidR="00000000" w:rsidRPr="00000000">
        <w:rPr>
          <w:rFonts w:ascii="Arial Narrow" w:cs="Arial Narrow" w:eastAsia="Arial Narrow" w:hAnsi="Arial Narrow"/>
          <w:sz w:val="24"/>
          <w:szCs w:val="24"/>
          <w:rtl w:val="0"/>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rsidR="00000000" w:rsidDel="00000000" w:rsidP="00000000" w:rsidRDefault="00000000" w:rsidRPr="00000000" w14:paraId="0000020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Prioridad 3:</w:t>
      </w:r>
      <w:r w:rsidDel="00000000" w:rsidR="00000000" w:rsidRPr="00000000">
        <w:rPr>
          <w:rFonts w:ascii="Arial Narrow" w:cs="Arial Narrow" w:eastAsia="Arial Narrow" w:hAnsi="Arial Narrow"/>
          <w:sz w:val="24"/>
          <w:szCs w:val="24"/>
          <w:rtl w:val="0"/>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rsidR="00000000" w:rsidDel="00000000" w:rsidP="00000000" w:rsidRDefault="00000000" w:rsidRPr="00000000" w14:paraId="0000021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Prioridad 4:</w:t>
      </w:r>
      <w:r w:rsidDel="00000000" w:rsidR="00000000" w:rsidRPr="00000000">
        <w:rPr>
          <w:rFonts w:ascii="Arial Narrow" w:cs="Arial Narrow" w:eastAsia="Arial Narrow" w:hAnsi="Arial Narrow"/>
          <w:sz w:val="24"/>
          <w:szCs w:val="24"/>
          <w:rtl w:val="0"/>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rsidR="00000000" w:rsidDel="00000000" w:rsidP="00000000" w:rsidRDefault="00000000" w:rsidRPr="00000000" w14:paraId="0000021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 anterior, en el mapa que se muestra continuación se puede apreciar la zonificación de la vulnerabilidad socioeconómico y ambiental a incendios de cobertura vegetal del Área de Recreación Alto del Rey.</w:t>
      </w:r>
    </w:p>
    <w:p w:rsidR="00000000" w:rsidDel="00000000" w:rsidP="00000000" w:rsidRDefault="00000000" w:rsidRPr="00000000" w14:paraId="0000021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6">
      <w:pPr>
        <w:jc w:val="both"/>
        <w:rPr>
          <w:rFonts w:ascii="Arial Narrow" w:cs="Arial Narrow" w:eastAsia="Arial Narrow" w:hAnsi="Arial Narrow"/>
          <w:sz w:val="24"/>
          <w:szCs w:val="24"/>
        </w:rPr>
      </w:pPr>
      <w:r w:rsidDel="00000000" w:rsidR="00000000" w:rsidRPr="00000000">
        <w:rPr/>
        <w:drawing>
          <wp:inline distB="0" distT="0" distL="0" distR="0">
            <wp:extent cx="5612130" cy="4336415"/>
            <wp:effectExtent b="0" l="0" r="0" t="0"/>
            <wp:docPr descr="C:\Users\Nathalia\AppData\Local\Temp\Temp1_Incendios.zip\Vulnerabilidad Incendios Alto del rey.jpg" id="765" name="image11.jpg"/>
            <a:graphic>
              <a:graphicData uri="http://schemas.openxmlformats.org/drawingml/2006/picture">
                <pic:pic>
                  <pic:nvPicPr>
                    <pic:cNvPr descr="C:\Users\Nathalia\AppData\Local\Temp\Temp1_Incendios.zip\Vulnerabilidad Incendios Alto del rey.jpg" id="0" name="image11.jpg"/>
                    <pic:cNvPicPr preferRelativeResize="0"/>
                  </pic:nvPicPr>
                  <pic:blipFill>
                    <a:blip r:embed="rId20"/>
                    <a:srcRect b="0" l="0" r="0" t="0"/>
                    <a:stretch>
                      <a:fillRect/>
                    </a:stretch>
                  </pic:blipFill>
                  <pic:spPr>
                    <a:xfrm>
                      <a:off x="0" y="0"/>
                      <a:ext cx="5612130" cy="433641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ihv636" w:id="34"/>
      <w:bookmarkEnd w:id="3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3. Vulnerabilidad socioeconómica y ambiental a incendios de cobertura vegetal del AR Alto del Rey</w:t>
      </w:r>
      <w:r w:rsidDel="00000000" w:rsidR="00000000" w:rsidRPr="00000000">
        <w:rPr>
          <w:rtl w:val="0"/>
        </w:rPr>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Histórico de ocurrencia de incendios de cobertura vegetal al interior del área protegida.</w:t>
      </w:r>
    </w:p>
    <w:p w:rsidR="00000000" w:rsidDel="00000000" w:rsidP="00000000" w:rsidRDefault="00000000" w:rsidRPr="00000000" w14:paraId="0000021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los reportes realizados por el Cuerpo de Bomberos Voluntarios de Balboa al Centro Regulador de Urgencias y Emergencias del departamento de Risaralda, se tiene que para el periodo comprendido entre los años 2018 y 2020, se presentaron los siguientes eventos asociados a incendios de la cobertura vegetal en el área protegida:</w:t>
      </w:r>
    </w:p>
    <w:p w:rsidR="00000000" w:rsidDel="00000000" w:rsidP="00000000" w:rsidRDefault="00000000" w:rsidRPr="00000000" w14:paraId="0000021A">
      <w:pPr>
        <w:tabs>
          <w:tab w:val="left" w:pos="1700"/>
        </w:tabs>
        <w:jc w:val="both"/>
        <w:rPr>
          <w:rFonts w:ascii="Arial Narrow" w:cs="Arial Narrow" w:eastAsia="Arial Narrow" w:hAnsi="Arial Narrow"/>
          <w:sz w:val="24"/>
          <w:szCs w:val="24"/>
        </w:rPr>
      </w:pPr>
      <w:r w:rsidDel="00000000" w:rsidR="00000000" w:rsidRPr="00000000">
        <w:rPr>
          <w:rtl w:val="0"/>
        </w:rPr>
      </w:r>
    </w:p>
    <w:tbl>
      <w:tblPr>
        <w:tblStyle w:val="Table9"/>
        <w:tblW w:w="794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1647"/>
        <w:gridCol w:w="2048"/>
        <w:gridCol w:w="2122"/>
        <w:tblGridChange w:id="0">
          <w:tblGrid>
            <w:gridCol w:w="2127"/>
            <w:gridCol w:w="1647"/>
            <w:gridCol w:w="2048"/>
            <w:gridCol w:w="2122"/>
          </w:tblGrid>
        </w:tblGridChange>
      </w:tblGrid>
      <w:tr>
        <w:tc>
          <w:tcPr/>
          <w:p w:rsidR="00000000" w:rsidDel="00000000" w:rsidP="00000000" w:rsidRDefault="00000000" w:rsidRPr="00000000" w14:paraId="0000021B">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Fecha</w:t>
            </w:r>
          </w:p>
        </w:tc>
        <w:tc>
          <w:tcPr/>
          <w:p w:rsidR="00000000" w:rsidDel="00000000" w:rsidP="00000000" w:rsidRDefault="00000000" w:rsidRPr="00000000" w14:paraId="0000021C">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Vereda</w:t>
            </w:r>
          </w:p>
        </w:tc>
        <w:tc>
          <w:tcPr/>
          <w:p w:rsidR="00000000" w:rsidDel="00000000" w:rsidP="00000000" w:rsidRDefault="00000000" w:rsidRPr="00000000" w14:paraId="0000021D">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de Evento</w:t>
            </w:r>
          </w:p>
        </w:tc>
        <w:tc>
          <w:tcPr/>
          <w:p w:rsidR="00000000" w:rsidDel="00000000" w:rsidP="00000000" w:rsidRDefault="00000000" w:rsidRPr="00000000" w14:paraId="0000021E">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Área Afectada (Ha.)</w:t>
            </w:r>
          </w:p>
        </w:tc>
      </w:tr>
      <w:tr>
        <w:tc>
          <w:tcPr/>
          <w:p w:rsidR="00000000" w:rsidDel="00000000" w:rsidP="00000000" w:rsidRDefault="00000000" w:rsidRPr="00000000" w14:paraId="0000021F">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2018-09-21</w:t>
            </w:r>
          </w:p>
        </w:tc>
        <w:tc>
          <w:tcPr/>
          <w:p w:rsidR="00000000" w:rsidDel="00000000" w:rsidP="00000000" w:rsidRDefault="00000000" w:rsidRPr="00000000" w14:paraId="00000220">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Monteredondo</w:t>
            </w:r>
          </w:p>
        </w:tc>
        <w:tc>
          <w:tcPr/>
          <w:p w:rsidR="00000000" w:rsidDel="00000000" w:rsidP="00000000" w:rsidRDefault="00000000" w:rsidRPr="00000000" w14:paraId="00000221">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Quema</w:t>
            </w:r>
          </w:p>
        </w:tc>
        <w:tc>
          <w:tcPr/>
          <w:p w:rsidR="00000000" w:rsidDel="00000000" w:rsidP="00000000" w:rsidRDefault="00000000" w:rsidRPr="00000000" w14:paraId="00000222">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r>
    </w:tbl>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32hioqz" w:id="35"/>
      <w:bookmarkEnd w:id="35"/>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10. Eventos asociados a incendios de la cobertura vegetal al interior del AR Alto del Rey</w:t>
      </w:r>
      <w:r w:rsidDel="00000000" w:rsidR="00000000" w:rsidRPr="00000000">
        <w:rPr>
          <w:rtl w:val="0"/>
        </w:rPr>
      </w:r>
    </w:p>
    <w:p w:rsidR="00000000" w:rsidDel="00000000" w:rsidP="00000000" w:rsidRDefault="00000000" w:rsidRPr="00000000" w14:paraId="0000022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 bien, en el período referido no se presenta un número significativo de eventos, es de resaltar la importancia de continuar desarrollando acciones de protección del ecosistema presente en el área, orientadas a la prevención, respuesta inmediata ante la ocurrencia de incendios y la recuperación de las zonas afectadas. </w:t>
      </w:r>
    </w:p>
    <w:p w:rsidR="00000000" w:rsidDel="00000000" w:rsidP="00000000" w:rsidRDefault="00000000" w:rsidRPr="00000000" w14:paraId="00000225">
      <w:pPr>
        <w:spacing w:line="240" w:lineRule="auto"/>
        <w:jc w:val="both"/>
        <w:rPr/>
      </w:pPr>
      <w:r w:rsidDel="00000000" w:rsidR="00000000" w:rsidRPr="00000000">
        <w:rPr>
          <w:rtl w:val="0"/>
        </w:rPr>
      </w:r>
    </w:p>
    <w:p w:rsidR="00000000" w:rsidDel="00000000" w:rsidP="00000000" w:rsidRDefault="00000000" w:rsidRPr="00000000" w14:paraId="00000226">
      <w:pPr>
        <w:pStyle w:val="Heading2"/>
        <w:rPr/>
      </w:pPr>
      <w:bookmarkStart w:colFirst="0" w:colLast="0" w:name="_heading=h.1hmsyys" w:id="36"/>
      <w:bookmarkEnd w:id="36"/>
      <w:r w:rsidDel="00000000" w:rsidR="00000000" w:rsidRPr="00000000">
        <w:rPr>
          <w:rtl w:val="0"/>
        </w:rPr>
        <w:t xml:space="preserve">1.2. Objetivos de conservación</w:t>
      </w:r>
    </w:p>
    <w:p w:rsidR="00000000" w:rsidDel="00000000" w:rsidP="00000000" w:rsidRDefault="00000000" w:rsidRPr="00000000" w14:paraId="00000227">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22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rsidR="00000000" w:rsidDel="00000000" w:rsidP="00000000" w:rsidRDefault="00000000" w:rsidRPr="00000000" w14:paraId="0000022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para el Área de Recreación Alto del Rey 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rsidR="00000000" w:rsidDel="00000000" w:rsidP="00000000" w:rsidRDefault="00000000" w:rsidRPr="00000000" w14:paraId="0000022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del Área de Recreación Alto del Rey son los siguientes: </w:t>
      </w:r>
    </w:p>
    <w:p w:rsidR="00000000" w:rsidDel="00000000" w:rsidP="00000000" w:rsidRDefault="00000000" w:rsidRPr="00000000" w14:paraId="0000022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Proteger los espacios naturales asociados a sitios de interés propios de la cultura cafetera como "puntos de guaquería</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que se encuentran al interior del área protegida</w:t>
      </w:r>
    </w:p>
    <w:p w:rsidR="00000000" w:rsidDel="00000000" w:rsidP="00000000" w:rsidRDefault="00000000" w:rsidRPr="00000000" w14:paraId="000002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el desarrollo de programas de reconversión de sistemas productivos con las comunidades asentadas al interior del área protegida que permitan el buen uso y aprovechamiento de los recursos naturales</w:t>
      </w:r>
    </w:p>
    <w:p w:rsidR="00000000" w:rsidDel="00000000" w:rsidP="00000000" w:rsidRDefault="00000000" w:rsidRPr="00000000" w14:paraId="000002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actividades encaminadas al desarrollo del turismo de naturaleza, educación ambiental e investigación, destacando la belleza escénica del área y la participación de los actores comunitarios.</w:t>
      </w:r>
    </w:p>
    <w:p w:rsidR="00000000" w:rsidDel="00000000" w:rsidP="00000000" w:rsidRDefault="00000000" w:rsidRPr="00000000" w14:paraId="000002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Preservar las coberturas naturales de los ecosistemas de bosque subandino húmedo y de guadua, con el fin de contribuir a la regulación hídrica de la cuenca, manteniendo el suministro de agua en calidad y cantidad para los acueductos rurales del municipio de Balboa.</w:t>
      </w:r>
    </w:p>
    <w:p w:rsidR="00000000" w:rsidDel="00000000" w:rsidP="00000000" w:rsidRDefault="00000000" w:rsidRPr="00000000" w14:paraId="000002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Proteger el hábitat y las poblaciones de las especies valores objeto de conservación identificadas para el área protegida. </w:t>
      </w:r>
    </w:p>
    <w:p w:rsidR="00000000" w:rsidDel="00000000" w:rsidP="00000000" w:rsidRDefault="00000000" w:rsidRPr="00000000" w14:paraId="00000233">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234">
      <w:pPr>
        <w:pStyle w:val="Heading2"/>
        <w:rPr/>
      </w:pPr>
      <w:bookmarkStart w:colFirst="0" w:colLast="0" w:name="_heading=h.41mghml" w:id="37"/>
      <w:bookmarkEnd w:id="37"/>
      <w:r w:rsidDel="00000000" w:rsidR="00000000" w:rsidRPr="00000000">
        <w:rPr>
          <w:rtl w:val="0"/>
        </w:rPr>
        <w:t xml:space="preserve">1.3. Valores Objeto de Conservación</w:t>
      </w:r>
    </w:p>
    <w:p w:rsidR="00000000" w:rsidDel="00000000" w:rsidP="00000000" w:rsidRDefault="00000000" w:rsidRPr="00000000" w14:paraId="00000235">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23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rsidR="00000000" w:rsidDel="00000000" w:rsidP="00000000" w:rsidRDefault="00000000" w:rsidRPr="00000000" w14:paraId="0000023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rsidR="00000000" w:rsidDel="00000000" w:rsidP="00000000" w:rsidRDefault="00000000" w:rsidRPr="00000000" w14:paraId="0000023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rsidR="00000000" w:rsidDel="00000000" w:rsidP="00000000" w:rsidRDefault="00000000" w:rsidRPr="00000000" w14:paraId="0000023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criterios utilizados para la elección de los VOC fueron los siguientes:</w:t>
      </w:r>
    </w:p>
    <w:p w:rsidR="00000000" w:rsidDel="00000000" w:rsidP="00000000" w:rsidRDefault="00000000" w:rsidRPr="00000000" w14:paraId="000002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Hace parte de un VOC ecorregional o regional.</w:t>
      </w:r>
    </w:p>
    <w:p w:rsidR="00000000" w:rsidDel="00000000" w:rsidP="00000000" w:rsidRDefault="00000000" w:rsidRPr="00000000" w14:paraId="000002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una especie focal, bandera, paraguas o clave.</w:t>
      </w:r>
    </w:p>
    <w:p w:rsidR="00000000" w:rsidDel="00000000" w:rsidP="00000000" w:rsidRDefault="00000000" w:rsidRPr="00000000" w14:paraId="000002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Especie amenazada en alguna categoría según la UICN (CR, EN, VU, NT).</w:t>
      </w:r>
    </w:p>
    <w:p w:rsidR="00000000" w:rsidDel="00000000" w:rsidP="00000000" w:rsidRDefault="00000000" w:rsidRPr="00000000" w14:paraId="000002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Funcionalidad (herbívora, depredación de primer orden, depredación de segundo orden o mayor, degradación de materia orgánica, dispersión de semillas, polinización, disturbio mecánico, control de plagas, interacción competitiva).</w:t>
      </w:r>
    </w:p>
    <w:p w:rsidR="00000000" w:rsidDel="00000000" w:rsidP="00000000" w:rsidRDefault="00000000" w:rsidRPr="00000000" w14:paraId="000002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Vulnerabilidad (de acuerdo a la severidad de cada una de las presiones de cada área sobre las especies).</w:t>
      </w:r>
    </w:p>
    <w:p w:rsidR="00000000" w:rsidDel="00000000" w:rsidP="00000000" w:rsidRDefault="00000000" w:rsidRPr="00000000" w14:paraId="0000024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Representatividad.</w:t>
      </w:r>
    </w:p>
    <w:p w:rsidR="00000000" w:rsidDel="00000000" w:rsidP="00000000" w:rsidRDefault="00000000" w:rsidRPr="00000000" w14:paraId="0000024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Complementariedad.</w:t>
      </w:r>
    </w:p>
    <w:p w:rsidR="00000000" w:rsidDel="00000000" w:rsidP="00000000" w:rsidRDefault="00000000" w:rsidRPr="00000000" w14:paraId="0000024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Ligado a los objetivos de conservación del área protegida.</w:t>
      </w:r>
    </w:p>
    <w:p w:rsidR="00000000" w:rsidDel="00000000" w:rsidP="00000000" w:rsidRDefault="00000000" w:rsidRPr="00000000" w14:paraId="0000024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Valores Objeto de Conservación -VOC definidos para el Área de Recreación Alto del Rey, fueron los siguientes:</w:t>
      </w:r>
    </w:p>
    <w:p w:rsidR="00000000" w:rsidDel="00000000" w:rsidP="00000000" w:rsidRDefault="00000000" w:rsidRPr="00000000" w14:paraId="0000024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Guacharaca (Ortalis columbiana)</w:t>
      </w:r>
    </w:p>
    <w:p w:rsidR="00000000" w:rsidDel="00000000" w:rsidP="00000000" w:rsidRDefault="00000000" w:rsidRPr="00000000" w14:paraId="0000024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especie es considerada una especie bandera en la zona. Además, por su tamaño, capacidad de desplazamiento y alimentación, es una especie altamente representativa de la biodiversidad del área protegida. Es avistada con frecuencia en los miradores, donde encuentra variedad de alimento. Sin embargo, con la constante presión del turismo no regulado, se ha notado desplazamiento de esta especie. </w:t>
      </w:r>
    </w:p>
    <w:p w:rsidR="00000000" w:rsidDel="00000000" w:rsidP="00000000" w:rsidRDefault="00000000" w:rsidRPr="00000000" w14:paraId="0000024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Patrimonio arqueológico</w:t>
      </w:r>
    </w:p>
    <w:p w:rsidR="00000000" w:rsidDel="00000000" w:rsidP="00000000" w:rsidRDefault="00000000" w:rsidRPr="00000000" w14:paraId="0000024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Este valor está inmerso  en la historia del Área Protegida Alto del Rey,  de allí  se ha derivado gran parte de la historia del municipio en sus inicios,  dónde gracias a  ello se mantiene la tradición oral, la cuentería, los mitos, leyendas que nacen de cada intento de guaquería en la zona, de allí se han extraído  piezas arqueológicas que reposan en el museo, </w:t>
      </w:r>
      <w:r w:rsidDel="00000000" w:rsidR="00000000" w:rsidRPr="00000000">
        <w:rPr>
          <w:rFonts w:ascii="Arial Narrow" w:cs="Arial Narrow" w:eastAsia="Arial Narrow" w:hAnsi="Arial Narrow"/>
          <w:b w:val="1"/>
          <w:sz w:val="24"/>
          <w:szCs w:val="24"/>
          <w:rtl w:val="0"/>
        </w:rPr>
        <w:t xml:space="preserve">“Contando las huellas de mi pasado”</w:t>
      </w:r>
      <w:r w:rsidDel="00000000" w:rsidR="00000000" w:rsidRPr="00000000">
        <w:rPr>
          <w:rFonts w:ascii="Arial Narrow" w:cs="Arial Narrow" w:eastAsia="Arial Narrow" w:hAnsi="Arial Narrow"/>
          <w:sz w:val="24"/>
          <w:szCs w:val="24"/>
          <w:rtl w:val="0"/>
        </w:rPr>
        <w:t xml:space="preserve"> y es un valor que mantiene firme la declaratoria de paisaje cultural cafetero, que genera presión en el área, peligros, y en varias visitas de profesionales se ha destacado el área por su riqueza arqueológica, lo que ha llevado a tener tres senderos de interés histórico: </w:t>
      </w:r>
      <w:r w:rsidDel="00000000" w:rsidR="00000000" w:rsidRPr="00000000">
        <w:rPr>
          <w:rFonts w:ascii="Arial Narrow" w:cs="Arial Narrow" w:eastAsia="Arial Narrow" w:hAnsi="Arial Narrow"/>
          <w:b w:val="1"/>
          <w:sz w:val="24"/>
          <w:szCs w:val="24"/>
          <w:rtl w:val="0"/>
        </w:rPr>
        <w:t xml:space="preserve">Bejuco y Lianas; Las Heliconias; y Las Guacas</w:t>
      </w:r>
      <w:r w:rsidDel="00000000" w:rsidR="00000000" w:rsidRPr="00000000">
        <w:rPr>
          <w:rFonts w:ascii="Arial Narrow" w:cs="Arial Narrow" w:eastAsia="Arial Narrow" w:hAnsi="Arial Narrow"/>
          <w:sz w:val="24"/>
          <w:szCs w:val="24"/>
          <w:rtl w:val="0"/>
        </w:rPr>
        <w:t xml:space="preserve">. Dicho patrimonio se puede ver afectado por la guaquería ilegal y el turismo irresponsable.</w:t>
      </w:r>
    </w:p>
    <w:p w:rsidR="00000000" w:rsidDel="00000000" w:rsidP="00000000" w:rsidRDefault="00000000" w:rsidRPr="00000000" w14:paraId="0000024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Dinde, doncel o tundo (Zanthoxulum rhoitolium)</w:t>
      </w:r>
    </w:p>
    <w:p w:rsidR="00000000" w:rsidDel="00000000" w:rsidP="00000000" w:rsidRDefault="00000000" w:rsidRPr="00000000" w14:paraId="0000024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especie es representativa del área  y por sus múltiples usos como madera, estacones y medicina, es continuamente aprovechada por campesinos de la zona, pues es para ellos de gran utilidad superando en importancia de conservación al </w:t>
      </w:r>
      <w:r w:rsidDel="00000000" w:rsidR="00000000" w:rsidRPr="00000000">
        <w:rPr>
          <w:rFonts w:ascii="Arial Narrow" w:cs="Arial Narrow" w:eastAsia="Arial Narrow" w:hAnsi="Arial Narrow"/>
          <w:b w:val="1"/>
          <w:sz w:val="24"/>
          <w:szCs w:val="24"/>
          <w:rtl w:val="0"/>
        </w:rPr>
        <w:t xml:space="preserve">Cedro Rosado (</w:t>
      </w:r>
      <w:r w:rsidDel="00000000" w:rsidR="00000000" w:rsidRPr="00000000">
        <w:rPr>
          <w:rFonts w:ascii="Arial Narrow" w:cs="Arial Narrow" w:eastAsia="Arial Narrow" w:hAnsi="Arial Narrow"/>
          <w:i w:val="1"/>
          <w:sz w:val="24"/>
          <w:szCs w:val="24"/>
          <w:rtl w:val="0"/>
        </w:rPr>
        <w:t xml:space="preserve">Cedrela odorata</w:t>
      </w:r>
      <w:r w:rsidDel="00000000" w:rsidR="00000000" w:rsidRPr="00000000">
        <w:rPr>
          <w:rFonts w:ascii="Arial Narrow" w:cs="Arial Narrow" w:eastAsia="Arial Narrow" w:hAnsi="Arial Narrow"/>
          <w:b w:val="1"/>
          <w:sz w:val="24"/>
          <w:szCs w:val="24"/>
          <w:rtl w:val="0"/>
        </w:rPr>
        <w:t xml:space="preserve">)</w:t>
      </w:r>
      <w:r w:rsidDel="00000000" w:rsidR="00000000" w:rsidRPr="00000000">
        <w:rPr>
          <w:rFonts w:ascii="Arial Narrow" w:cs="Arial Narrow" w:eastAsia="Arial Narrow" w:hAnsi="Arial Narrow"/>
          <w:b w:val="1"/>
          <w:i w:val="1"/>
          <w:sz w:val="24"/>
          <w:szCs w:val="24"/>
          <w:rtl w:val="0"/>
        </w:rPr>
        <w:t xml:space="preserve">.</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En el AR Alto del Rey, esta especie se ve amenazada por las quemas agrícolas, leñateo, manejo inadecuado de residuos sólidos, extracción de madera para estacones y turismo no regulado.</w:t>
      </w:r>
    </w:p>
    <w:p w:rsidR="00000000" w:rsidDel="00000000" w:rsidP="00000000" w:rsidRDefault="00000000" w:rsidRPr="00000000" w14:paraId="0000025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1">
      <w:pPr>
        <w:pStyle w:val="Heading2"/>
        <w:rPr/>
      </w:pPr>
      <w:bookmarkStart w:colFirst="0" w:colLast="0" w:name="_heading=h.2grqrue" w:id="38"/>
      <w:bookmarkEnd w:id="38"/>
      <w:r w:rsidDel="00000000" w:rsidR="00000000" w:rsidRPr="00000000">
        <w:rPr>
          <w:rtl w:val="0"/>
        </w:rPr>
        <w:t xml:space="preserve">1.4. Biodiversidad</w:t>
      </w:r>
    </w:p>
    <w:p w:rsidR="00000000" w:rsidDel="00000000" w:rsidP="00000000" w:rsidRDefault="00000000" w:rsidRPr="00000000" w14:paraId="00000252">
      <w:pPr>
        <w:pStyle w:val="Heading3"/>
        <w:rPr/>
      </w:pPr>
      <w:bookmarkStart w:colFirst="0" w:colLast="0" w:name="_heading=h.vx1227" w:id="39"/>
      <w:bookmarkEnd w:id="39"/>
      <w:r w:rsidDel="00000000" w:rsidR="00000000" w:rsidRPr="00000000">
        <w:rPr>
          <w:rtl w:val="0"/>
        </w:rPr>
        <w:t xml:space="preserve">1.4.1. Análisis de ecosistemas</w:t>
      </w:r>
    </w:p>
    <w:p w:rsidR="00000000" w:rsidDel="00000000" w:rsidP="00000000" w:rsidRDefault="00000000" w:rsidRPr="00000000" w14:paraId="0000025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ecosistemas del Área de Recreación Alto del Rey, están representados por el bosque subandino húmedo y muy húmedo vertiente Oriental de la Cordillera Occidental, con el 14,9% y el mismo ecosistema húmedo y muy húmedo, pero fragmentado con el 15,4%. Estos bosques de la vertiente oriental de La Cordillera Occidental, tienen un rango altitudinal aproximado entre 1100 - 2200 msnm, la precipitación media anual es de 2100 mm y la temperatura media es de 21,8 ˚C. Corresponden a arbustales que representan estados sucesionales tempranos y que contienen tanto especies pioneras como propias de los ecosistemas cercanos. (WWF, WCS, 2013, Clasificación de Ecosistemas Naturales Terrestres del Eje Cafetero).</w:t>
      </w:r>
    </w:p>
    <w:p w:rsidR="00000000" w:rsidDel="00000000" w:rsidP="00000000" w:rsidRDefault="00000000" w:rsidRPr="00000000" w14:paraId="0000025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Estos ecosistemas del área protegida han tenido procesos de transformación, por las diferentes actividades antrópicas, pero en la actualidad se encuentra con proceso de</w:t>
      </w:r>
      <w:r w:rsidDel="00000000" w:rsidR="00000000" w:rsidRPr="00000000">
        <w:rPr>
          <w:rtl w:val="0"/>
        </w:rPr>
        <w:t xml:space="preserve"> </w:t>
      </w:r>
      <w:r w:rsidDel="00000000" w:rsidR="00000000" w:rsidRPr="00000000">
        <w:rPr>
          <w:rFonts w:ascii="Arial Narrow" w:cs="Arial Narrow" w:eastAsia="Arial Narrow" w:hAnsi="Arial Narrow"/>
          <w:sz w:val="24"/>
          <w:szCs w:val="24"/>
          <w:rtl w:val="0"/>
        </w:rPr>
        <w:t xml:space="preserve">regeneración natural. </w:t>
      </w:r>
    </w:p>
    <w:p w:rsidR="00000000" w:rsidDel="00000000" w:rsidP="00000000" w:rsidRDefault="00000000" w:rsidRPr="00000000" w14:paraId="0000025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0">
      <w:pPr>
        <w:jc w:val="both"/>
        <w:rPr>
          <w:rFonts w:ascii="Arial Narrow" w:cs="Arial Narrow" w:eastAsia="Arial Narrow" w:hAnsi="Arial Narrow"/>
          <w:sz w:val="24"/>
          <w:szCs w:val="24"/>
        </w:rPr>
      </w:pPr>
      <w:r w:rsidDel="00000000" w:rsidR="00000000" w:rsidRPr="00000000">
        <w:rPr>
          <w:rtl w:val="0"/>
        </w:rPr>
      </w:r>
    </w:p>
    <w:tbl>
      <w:tblPr>
        <w:tblStyle w:val="Table10"/>
        <w:tblW w:w="10973.0" w:type="dxa"/>
        <w:jc w:val="left"/>
        <w:tblInd w:w="-855.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48"/>
        <w:gridCol w:w="3625"/>
        <w:tblGridChange w:id="0">
          <w:tblGrid>
            <w:gridCol w:w="7348"/>
            <w:gridCol w:w="3625"/>
          </w:tblGrid>
        </w:tblGridChange>
      </w:tblGrid>
      <w:tr>
        <w:tc>
          <w:tcPr/>
          <w:p w:rsidR="00000000" w:rsidDel="00000000" w:rsidP="00000000" w:rsidRDefault="00000000" w:rsidRPr="00000000" w14:paraId="00000261">
            <w:pPr>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262">
            <w:pPr>
              <w:rPr>
                <w:rFonts w:ascii="Arial Narrow" w:cs="Arial Narrow" w:eastAsia="Arial Narrow" w:hAnsi="Arial Narrow"/>
                <w:sz w:val="20"/>
                <w:szCs w:val="20"/>
              </w:rPr>
            </w:pPr>
            <w:r w:rsidDel="00000000" w:rsidR="00000000" w:rsidRPr="00000000">
              <w:rPr>
                <w:rtl w:val="0"/>
              </w:rPr>
            </w:r>
          </w:p>
        </w:tc>
      </w:tr>
      <w:tr>
        <w:trPr>
          <w:trHeight w:val="4203" w:hRule="atLeast"/>
        </w:trPr>
        <w:tc>
          <w:tcPr/>
          <w:p w:rsidR="00000000" w:rsidDel="00000000" w:rsidP="00000000" w:rsidRDefault="00000000" w:rsidRPr="00000000" w14:paraId="00000263">
            <w:pPr>
              <w:rPr>
                <w:rFonts w:ascii="Arial Narrow" w:cs="Arial Narrow" w:eastAsia="Arial Narrow" w:hAnsi="Arial Narrow"/>
                <w:sz w:val="24"/>
                <w:szCs w:val="24"/>
              </w:rPr>
            </w:pPr>
            <w:r w:rsidDel="00000000" w:rsidR="00000000" w:rsidRPr="00000000">
              <w:rPr>
                <w:rtl w:val="0"/>
              </w:rPr>
            </w:r>
          </w:p>
          <w:tbl>
            <w:tblPr>
              <w:tblStyle w:val="Table11"/>
              <w:tblW w:w="7122.0" w:type="dxa"/>
              <w:jc w:val="left"/>
              <w:tblLayout w:type="fixed"/>
              <w:tblLook w:val="0400"/>
            </w:tblPr>
            <w:tblGrid>
              <w:gridCol w:w="4571"/>
              <w:gridCol w:w="1275"/>
              <w:gridCol w:w="1276"/>
              <w:tblGridChange w:id="0">
                <w:tblGrid>
                  <w:gridCol w:w="4571"/>
                  <w:gridCol w:w="1275"/>
                  <w:gridCol w:w="1276"/>
                </w:tblGrid>
              </w:tblGridChange>
            </w:tblGrid>
            <w:tr>
              <w:trPr>
                <w:trHeight w:val="98" w:hRule="atLeast"/>
              </w:trPr>
              <w:tc>
                <w:tcPr>
                  <w:tcBorders>
                    <w:top w:color="000000" w:space="0" w:sz="4" w:val="single"/>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264">
                  <w:pPr>
                    <w:spacing w:line="240" w:lineRule="auto"/>
                    <w:jc w:val="center"/>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Ecosistemas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265">
                  <w:pPr>
                    <w:spacing w:line="240" w:lineRule="auto"/>
                    <w:jc w:val="center"/>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Hectáreas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266">
                  <w:pPr>
                    <w:spacing w:line="240" w:lineRule="auto"/>
                    <w:jc w:val="center"/>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de área</w:t>
                  </w:r>
                </w:p>
              </w:tc>
            </w:tr>
            <w:tr>
              <w:trPr>
                <w:trHeight w:val="7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7">
                  <w:pPr>
                    <w:spacing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Agroecosistemas cafetero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8">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9">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36,3%</w:t>
                  </w:r>
                </w:p>
              </w:tc>
            </w:tr>
            <w:tr>
              <w:trPr>
                <w:trHeight w:val="7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A">
                  <w:pPr>
                    <w:spacing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Agroecosistemas ganadero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B">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C">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18,0%</w:t>
                  </w:r>
                </w:p>
              </w:tc>
            </w:tr>
            <w:tr>
              <w:trPr>
                <w:trHeight w:val="7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D">
                  <w:pPr>
                    <w:spacing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Bosque de guadua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E">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F">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3,9%</w:t>
                  </w:r>
                </w:p>
              </w:tc>
            </w:tr>
            <w:tr>
              <w:trPr>
                <w:trHeight w:val="41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0">
                  <w:pPr>
                    <w:spacing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Bosque fragmentado Subandino húmedo Cordillera occidental oriental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1">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2">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7,1%</w:t>
                  </w:r>
                </w:p>
              </w:tc>
            </w:tr>
            <w:tr>
              <w:trPr>
                <w:trHeight w:val="41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3">
                  <w:pPr>
                    <w:spacing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Bosque fragmentado Subandino muy húmedo Cordillera occidental oriental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4">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5">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8,3%</w:t>
                  </w:r>
                </w:p>
              </w:tc>
            </w:tr>
            <w:tr>
              <w:trPr>
                <w:trHeight w:val="41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6">
                  <w:pPr>
                    <w:spacing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Bosque Subandino húmedo Cordillera occidental oriental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7">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8">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10,6%</w:t>
                  </w:r>
                </w:p>
              </w:tc>
            </w:tr>
            <w:tr>
              <w:trPr>
                <w:trHeight w:val="41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9">
                  <w:pPr>
                    <w:spacing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Bosque Subandino muy húmedo Cordillera occidental oriental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A">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B">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4,3%</w:t>
                  </w:r>
                </w:p>
              </w:tc>
            </w:tr>
            <w:tr>
              <w:trPr>
                <w:trHeight w:val="7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C">
                  <w:pPr>
                    <w:spacing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Cultivo permanente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D">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E">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8,6%</w:t>
                  </w:r>
                </w:p>
              </w:tc>
            </w:tr>
            <w:tr>
              <w:trPr>
                <w:trHeight w:val="7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F">
                  <w:pPr>
                    <w:spacing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Zonas urbanizadas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0">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1">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2,9%</w:t>
                  </w:r>
                </w:p>
              </w:tc>
            </w:tr>
            <w:tr>
              <w:trPr>
                <w:trHeight w:val="412"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282">
                  <w:pPr>
                    <w:spacing w:line="240" w:lineRule="auto"/>
                    <w:jc w:val="center"/>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Total</w:t>
                  </w:r>
                </w:p>
              </w:tc>
              <w:tc>
                <w:tcPr>
                  <w:tcBorders>
                    <w:top w:color="000000" w:space="0" w:sz="0" w:val="nil"/>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283">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138</w:t>
                  </w:r>
                </w:p>
              </w:tc>
              <w:tc>
                <w:tcPr>
                  <w:tcBorders>
                    <w:top w:color="000000" w:space="0" w:sz="0" w:val="nil"/>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284">
                  <w:pPr>
                    <w:spacing w:line="240" w:lineRule="auto"/>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100,0%</w:t>
                  </w:r>
                </w:p>
              </w:tc>
            </w:tr>
          </w:tbl>
          <w:p w:rsidR="00000000" w:rsidDel="00000000" w:rsidP="00000000" w:rsidRDefault="00000000" w:rsidRPr="00000000" w14:paraId="00000285">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86">
            <w:pPr>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87">
            <w:pPr>
              <w:jc w:val="center"/>
              <w:rPr>
                <w:rFonts w:ascii="Arial Narrow" w:cs="Arial Narrow" w:eastAsia="Arial Narrow" w:hAnsi="Arial Narrow"/>
                <w:sz w:val="24"/>
                <w:szCs w:val="24"/>
              </w:rPr>
            </w:pPr>
            <w:r w:rsidDel="00000000" w:rsidR="00000000" w:rsidRPr="00000000">
              <w:rPr/>
              <w:drawing>
                <wp:inline distB="0" distT="0" distL="0" distR="0">
                  <wp:extent cx="3570136" cy="2586247"/>
                  <wp:effectExtent b="0" l="0" r="0" t="0"/>
                  <wp:docPr id="766"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3570136" cy="25862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89">
            <w:pPr>
              <w:keepNext w:val="1"/>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tabs>
          <w:tab w:val="left" w:pos="1296"/>
          <w:tab w:val="center" w:pos="4419"/>
        </w:tabs>
        <w:spacing w:after="200" w:before="0" w:line="240" w:lineRule="auto"/>
        <w:ind w:left="0" w:right="0" w:firstLine="0"/>
        <w:jc w:val="left"/>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3fwokq0" w:id="40"/>
      <w:bookmarkEnd w:id="4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ab/>
      </w:r>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Mapa 4. Ecosistemas AR Alto del Rey 2015</w:t>
      </w:r>
    </w:p>
    <w:p w:rsidR="00000000" w:rsidDel="00000000" w:rsidP="00000000" w:rsidRDefault="00000000" w:rsidRPr="00000000" w14:paraId="0000028B">
      <w:pPr>
        <w:pStyle w:val="Heading3"/>
        <w:rPr/>
      </w:pPr>
      <w:bookmarkStart w:colFirst="0" w:colLast="0" w:name="_heading=h.1v1yuxt" w:id="41"/>
      <w:bookmarkEnd w:id="41"/>
      <w:r w:rsidDel="00000000" w:rsidR="00000000" w:rsidRPr="00000000">
        <w:rPr>
          <w:rtl w:val="0"/>
        </w:rPr>
        <w:t xml:space="preserve">1.4.2. Diversidad Biológica y especies con algún grado de amenaza</w:t>
      </w:r>
    </w:p>
    <w:p w:rsidR="00000000" w:rsidDel="00000000" w:rsidP="00000000" w:rsidRDefault="00000000" w:rsidRPr="00000000" w14:paraId="0000028C">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8D">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Fauna</w:t>
      </w:r>
    </w:p>
    <w:p w:rsidR="00000000" w:rsidDel="00000000" w:rsidP="00000000" w:rsidRDefault="00000000" w:rsidRPr="00000000" w14:paraId="0000028E">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8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612130" cy="2713355"/>
            <wp:docPr id="744" name=""/>
            <a:graphic>
              <a:graphicData uri="http://schemas.openxmlformats.org/drawingml/2006/chart">
                <c:chart r:id="rId22"/>
              </a:graphicData>
            </a:graphic>
          </wp:inline>
        </w:drawing>
      </w: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4f1mdlm" w:id="42"/>
      <w:bookmarkEnd w:id="42"/>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11. Riqueza de especies de aves por familia para el AR Alto del Rey</w:t>
      </w:r>
    </w:p>
    <w:p w:rsidR="00000000" w:rsidDel="00000000" w:rsidP="00000000" w:rsidRDefault="00000000" w:rsidRPr="00000000" w14:paraId="0000029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área protegida se han reportado 118 especies de aves (SIB Colombia, 2019; CARDER, 2019). De estas se destacan especies como el Hormiguero de Parker (</w:t>
      </w:r>
      <w:r w:rsidDel="00000000" w:rsidR="00000000" w:rsidRPr="00000000">
        <w:rPr>
          <w:rFonts w:ascii="Arial Narrow" w:cs="Arial Narrow" w:eastAsia="Arial Narrow" w:hAnsi="Arial Narrow"/>
          <w:i w:val="1"/>
          <w:sz w:val="24"/>
          <w:szCs w:val="24"/>
          <w:rtl w:val="0"/>
        </w:rPr>
        <w:t xml:space="preserve">Cercomacroides parkeri)</w:t>
      </w:r>
      <w:r w:rsidDel="00000000" w:rsidR="00000000" w:rsidRPr="00000000">
        <w:rPr>
          <w:rFonts w:ascii="Arial Narrow" w:cs="Arial Narrow" w:eastAsia="Arial Narrow" w:hAnsi="Arial Narrow"/>
          <w:sz w:val="24"/>
          <w:szCs w:val="24"/>
          <w:rtl w:val="0"/>
        </w:rPr>
        <w:t xml:space="preserve"> un ave endémica de Colombia de la familia Thamnophidae (CARDER, 2019). Así como algunos colibríes endémicos de América pertenecientes a la familia</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Trochilidae, como el Colibrí Inca </w:t>
      </w:r>
      <w:r w:rsidDel="00000000" w:rsidR="00000000" w:rsidRPr="00000000">
        <w:rPr>
          <w:rFonts w:ascii="Arial Narrow" w:cs="Arial Narrow" w:eastAsia="Arial Narrow" w:hAnsi="Arial Narrow"/>
          <w:i w:val="1"/>
          <w:sz w:val="24"/>
          <w:szCs w:val="24"/>
          <w:rtl w:val="0"/>
        </w:rPr>
        <w:t xml:space="preserve">(Coeligena coeligena), </w:t>
      </w:r>
      <w:r w:rsidDel="00000000" w:rsidR="00000000" w:rsidRPr="00000000">
        <w:rPr>
          <w:rFonts w:ascii="Arial Narrow" w:cs="Arial Narrow" w:eastAsia="Arial Narrow" w:hAnsi="Arial Narrow"/>
          <w:sz w:val="24"/>
          <w:szCs w:val="24"/>
          <w:rtl w:val="0"/>
        </w:rPr>
        <w:t xml:space="preserve">mango Común</w:t>
      </w:r>
      <w:r w:rsidDel="00000000" w:rsidR="00000000" w:rsidRPr="00000000">
        <w:rPr>
          <w:rFonts w:ascii="Arial Narrow" w:cs="Arial Narrow" w:eastAsia="Arial Narrow" w:hAnsi="Arial Narrow"/>
          <w:i w:val="1"/>
          <w:sz w:val="24"/>
          <w:szCs w:val="24"/>
          <w:rtl w:val="0"/>
        </w:rPr>
        <w:t xml:space="preserve"> (Anthracothorax nigricollis),</w:t>
      </w:r>
      <w:r w:rsidDel="00000000" w:rsidR="00000000" w:rsidRPr="00000000">
        <w:rPr>
          <w:rFonts w:ascii="Arial Narrow" w:cs="Arial Narrow" w:eastAsia="Arial Narrow" w:hAnsi="Arial Narrow"/>
          <w:sz w:val="24"/>
          <w:szCs w:val="24"/>
          <w:rtl w:val="0"/>
        </w:rPr>
        <w:t xml:space="preserve"> el Ermitaño verde (</w:t>
      </w:r>
      <w:r w:rsidDel="00000000" w:rsidR="00000000" w:rsidRPr="00000000">
        <w:rPr>
          <w:rFonts w:ascii="Arial Narrow" w:cs="Arial Narrow" w:eastAsia="Arial Narrow" w:hAnsi="Arial Narrow"/>
          <w:i w:val="1"/>
          <w:sz w:val="24"/>
          <w:szCs w:val="24"/>
          <w:rtl w:val="0"/>
        </w:rPr>
        <w:t xml:space="preserve">Phaethornis guy</w:t>
      </w:r>
      <w:r w:rsidDel="00000000" w:rsidR="00000000" w:rsidRPr="00000000">
        <w:rPr>
          <w:rFonts w:ascii="Arial Narrow" w:cs="Arial Narrow" w:eastAsia="Arial Narrow" w:hAnsi="Arial Narrow"/>
          <w:sz w:val="24"/>
          <w:szCs w:val="24"/>
          <w:rtl w:val="0"/>
        </w:rPr>
        <w:t xml:space="preserve">) y pava endémica (</w:t>
      </w:r>
      <w:r w:rsidDel="00000000" w:rsidR="00000000" w:rsidRPr="00000000">
        <w:rPr>
          <w:rFonts w:ascii="Arial Narrow" w:cs="Arial Narrow" w:eastAsia="Arial Narrow" w:hAnsi="Arial Narrow"/>
          <w:i w:val="1"/>
          <w:sz w:val="24"/>
          <w:szCs w:val="24"/>
          <w:rtl w:val="0"/>
        </w:rPr>
        <w:t xml:space="preserve">Ortalis columbiana</w:t>
      </w:r>
      <w:r w:rsidDel="00000000" w:rsidR="00000000" w:rsidRPr="00000000">
        <w:rPr>
          <w:rFonts w:ascii="Arial Narrow" w:cs="Arial Narrow" w:eastAsia="Arial Narrow" w:hAnsi="Arial Narrow"/>
          <w:sz w:val="24"/>
          <w:szCs w:val="24"/>
          <w:rtl w:val="0"/>
        </w:rPr>
        <w:t xml:space="preserve">) (SIB Colombia, 2019). </w:t>
      </w:r>
    </w:p>
    <w:p w:rsidR="00000000" w:rsidDel="00000000" w:rsidP="00000000" w:rsidRDefault="00000000" w:rsidRPr="00000000" w14:paraId="0000029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3">
      <w:pPr>
        <w:jc w:val="both"/>
        <w:rPr>
          <w:rFonts w:ascii="Arial Narrow" w:cs="Arial Narrow" w:eastAsia="Arial Narrow" w:hAnsi="Arial Narrow"/>
          <w:color w:val="080100"/>
          <w:sz w:val="24"/>
          <w:szCs w:val="24"/>
          <w:highlight w:val="white"/>
        </w:rPr>
      </w:pPr>
      <w:r w:rsidDel="00000000" w:rsidR="00000000" w:rsidRPr="00000000">
        <w:rPr>
          <w:rFonts w:ascii="Arial Narrow" w:cs="Arial Narrow" w:eastAsia="Arial Narrow" w:hAnsi="Arial Narrow"/>
          <w:sz w:val="24"/>
          <w:szCs w:val="24"/>
          <w:rtl w:val="0"/>
        </w:rPr>
        <w:t xml:space="preserve">Para los mamíferos se cuenta con la presencia de dos especies de Murciélagos de la familia Phyllostomidae (</w:t>
      </w:r>
      <w:r w:rsidDel="00000000" w:rsidR="00000000" w:rsidRPr="00000000">
        <w:rPr>
          <w:rFonts w:ascii="Arial Narrow" w:cs="Arial Narrow" w:eastAsia="Arial Narrow" w:hAnsi="Arial Narrow"/>
          <w:i w:val="1"/>
          <w:sz w:val="24"/>
          <w:szCs w:val="24"/>
          <w:rtl w:val="0"/>
        </w:rPr>
        <w:t xml:space="preserve">Dermanura phaeotis</w:t>
      </w:r>
      <w:r w:rsidDel="00000000" w:rsidR="00000000" w:rsidRPr="00000000">
        <w:rPr>
          <w:rFonts w:ascii="Arial Narrow" w:cs="Arial Narrow" w:eastAsia="Arial Narrow" w:hAnsi="Arial Narrow"/>
          <w:sz w:val="24"/>
          <w:szCs w:val="24"/>
          <w:rtl w:val="0"/>
        </w:rPr>
        <w:t xml:space="preserve"> y </w:t>
      </w:r>
      <w:r w:rsidDel="00000000" w:rsidR="00000000" w:rsidRPr="00000000">
        <w:rPr>
          <w:rFonts w:ascii="Arial Narrow" w:cs="Arial Narrow" w:eastAsia="Arial Narrow" w:hAnsi="Arial Narrow"/>
          <w:i w:val="1"/>
          <w:sz w:val="24"/>
          <w:szCs w:val="24"/>
          <w:rtl w:val="0"/>
        </w:rPr>
        <w:t xml:space="preserve">Glossophaga soricina),</w:t>
      </w:r>
      <w:r w:rsidDel="00000000" w:rsidR="00000000" w:rsidRPr="00000000">
        <w:rPr>
          <w:rFonts w:ascii="Arial Narrow" w:cs="Arial Narrow" w:eastAsia="Arial Narrow" w:hAnsi="Arial Narrow"/>
          <w:sz w:val="24"/>
          <w:szCs w:val="24"/>
          <w:rtl w:val="0"/>
        </w:rPr>
        <w:t xml:space="preserve"> estos son dispersores de semillas y polinizadores, importantes para el control de plagas y pequeños vertebrados (SIB Colombia, 2019). También, la Asociación Asterprobal del municipio de Balboa ha reportado avistamientos de especies como la taira (</w:t>
      </w:r>
      <w:r w:rsidDel="00000000" w:rsidR="00000000" w:rsidRPr="00000000">
        <w:rPr>
          <w:rFonts w:ascii="Arial Narrow" w:cs="Arial Narrow" w:eastAsia="Arial Narrow" w:hAnsi="Arial Narrow"/>
          <w:i w:val="1"/>
          <w:sz w:val="24"/>
          <w:szCs w:val="24"/>
          <w:rtl w:val="0"/>
        </w:rPr>
        <w:t xml:space="preserve">Eira barbara</w:t>
      </w:r>
      <w:r w:rsidDel="00000000" w:rsidR="00000000" w:rsidRPr="00000000">
        <w:rPr>
          <w:rFonts w:ascii="Arial Narrow" w:cs="Arial Narrow" w:eastAsia="Arial Narrow" w:hAnsi="Arial Narrow"/>
          <w:sz w:val="24"/>
          <w:szCs w:val="24"/>
          <w:rtl w:val="0"/>
        </w:rPr>
        <w:t xml:space="preserve">), gato moro, (</w:t>
      </w:r>
      <w:r w:rsidDel="00000000" w:rsidR="00000000" w:rsidRPr="00000000">
        <w:rPr>
          <w:rFonts w:ascii="Arial Narrow" w:cs="Arial Narrow" w:eastAsia="Arial Narrow" w:hAnsi="Arial Narrow"/>
          <w:i w:val="1"/>
          <w:sz w:val="24"/>
          <w:szCs w:val="24"/>
          <w:rtl w:val="0"/>
        </w:rPr>
        <w:t xml:space="preserve">Herpailurus yagouaroundi</w:t>
      </w:r>
      <w:r w:rsidDel="00000000" w:rsidR="00000000" w:rsidRPr="00000000">
        <w:rPr>
          <w:rFonts w:ascii="Arial Narrow" w:cs="Arial Narrow" w:eastAsia="Arial Narrow" w:hAnsi="Arial Narrow"/>
          <w:sz w:val="24"/>
          <w:szCs w:val="24"/>
          <w:rtl w:val="0"/>
        </w:rPr>
        <w:t xml:space="preserve">), Tigrillo (</w:t>
      </w:r>
      <w:r w:rsidDel="00000000" w:rsidR="00000000" w:rsidRPr="00000000">
        <w:rPr>
          <w:rFonts w:ascii="Arial Narrow" w:cs="Arial Narrow" w:eastAsia="Arial Narrow" w:hAnsi="Arial Narrow"/>
          <w:i w:val="1"/>
          <w:sz w:val="24"/>
          <w:szCs w:val="24"/>
          <w:rtl w:val="0"/>
        </w:rPr>
        <w:t xml:space="preserve">Leopardus tigrinus</w:t>
      </w:r>
      <w:r w:rsidDel="00000000" w:rsidR="00000000" w:rsidRPr="00000000">
        <w:rPr>
          <w:rFonts w:ascii="Arial Narrow" w:cs="Arial Narrow" w:eastAsia="Arial Narrow" w:hAnsi="Arial Narrow"/>
          <w:sz w:val="24"/>
          <w:szCs w:val="24"/>
          <w:rtl w:val="0"/>
        </w:rPr>
        <w:t xml:space="preserve">), oso Hormiguero, (</w:t>
      </w:r>
      <w:r w:rsidDel="00000000" w:rsidR="00000000" w:rsidRPr="00000000">
        <w:rPr>
          <w:rFonts w:ascii="Arial Narrow" w:cs="Arial Narrow" w:eastAsia="Arial Narrow" w:hAnsi="Arial Narrow"/>
          <w:i w:val="1"/>
          <w:sz w:val="24"/>
          <w:szCs w:val="24"/>
          <w:rtl w:val="0"/>
        </w:rPr>
        <w:t xml:space="preserve">Tamandua mexicana</w:t>
      </w:r>
      <w:r w:rsidDel="00000000" w:rsidR="00000000" w:rsidRPr="00000000">
        <w:rPr>
          <w:rFonts w:ascii="Arial Narrow" w:cs="Arial Narrow" w:eastAsia="Arial Narrow" w:hAnsi="Arial Narrow"/>
          <w:sz w:val="24"/>
          <w:szCs w:val="24"/>
          <w:rtl w:val="0"/>
        </w:rPr>
        <w:t xml:space="preserve">), Oso Perezoso (</w:t>
      </w:r>
      <w:r w:rsidDel="00000000" w:rsidR="00000000" w:rsidRPr="00000000">
        <w:rPr>
          <w:rFonts w:ascii="Arial Narrow" w:cs="Arial Narrow" w:eastAsia="Arial Narrow" w:hAnsi="Arial Narrow"/>
          <w:i w:val="1"/>
          <w:sz w:val="24"/>
          <w:szCs w:val="24"/>
          <w:rtl w:val="0"/>
        </w:rPr>
        <w:t xml:space="preserve">Choloepus hoffmanii</w:t>
      </w:r>
      <w:r w:rsidDel="00000000" w:rsidR="00000000" w:rsidRPr="00000000">
        <w:rPr>
          <w:rFonts w:ascii="Arial Narrow" w:cs="Arial Narrow" w:eastAsia="Arial Narrow" w:hAnsi="Arial Narrow"/>
          <w:sz w:val="24"/>
          <w:szCs w:val="24"/>
          <w:rtl w:val="0"/>
        </w:rPr>
        <w:t xml:space="preserve">) y zorro (</w:t>
      </w:r>
      <w:r w:rsidDel="00000000" w:rsidR="00000000" w:rsidRPr="00000000">
        <w:rPr>
          <w:rFonts w:ascii="Arial Narrow" w:cs="Arial Narrow" w:eastAsia="Arial Narrow" w:hAnsi="Arial Narrow"/>
          <w:i w:val="1"/>
          <w:sz w:val="24"/>
          <w:szCs w:val="24"/>
          <w:rtl w:val="0"/>
        </w:rPr>
        <w:t xml:space="preserve">Cerdocyon thous</w:t>
      </w:r>
      <w:r w:rsidDel="00000000" w:rsidR="00000000" w:rsidRPr="00000000">
        <w:rPr>
          <w:rFonts w:ascii="Arial Narrow" w:cs="Arial Narrow" w:eastAsia="Arial Narrow" w:hAnsi="Arial Narrow"/>
          <w:sz w:val="24"/>
          <w:szCs w:val="24"/>
          <w:rtl w:val="0"/>
        </w:rPr>
        <w:t xml:space="preserve">), (Asociación Asterprobal, Comunicación personal, 2020). De los cuales, </w:t>
      </w:r>
      <w:r w:rsidDel="00000000" w:rsidR="00000000" w:rsidRPr="00000000">
        <w:rPr>
          <w:rFonts w:ascii="Arial Narrow" w:cs="Arial Narrow" w:eastAsia="Arial Narrow" w:hAnsi="Arial Narrow"/>
          <w:color w:val="000000"/>
          <w:sz w:val="24"/>
          <w:szCs w:val="24"/>
          <w:rtl w:val="0"/>
        </w:rPr>
        <w:t xml:space="preserve">el tigrillo (</w:t>
      </w:r>
      <w:r w:rsidDel="00000000" w:rsidR="00000000" w:rsidRPr="00000000">
        <w:rPr>
          <w:rFonts w:ascii="Arial Narrow" w:cs="Arial Narrow" w:eastAsia="Arial Narrow" w:hAnsi="Arial Narrow"/>
          <w:i w:val="1"/>
          <w:color w:val="000000"/>
          <w:sz w:val="24"/>
          <w:szCs w:val="24"/>
          <w:rtl w:val="0"/>
        </w:rPr>
        <w:t xml:space="preserve">Leopardus tigrinus) </w:t>
      </w:r>
      <w:r w:rsidDel="00000000" w:rsidR="00000000" w:rsidRPr="00000000">
        <w:rPr>
          <w:rFonts w:ascii="Arial Narrow" w:cs="Arial Narrow" w:eastAsia="Arial Narrow" w:hAnsi="Arial Narrow"/>
          <w:color w:val="000000"/>
          <w:sz w:val="24"/>
          <w:szCs w:val="24"/>
          <w:rtl w:val="0"/>
        </w:rPr>
        <w:t xml:space="preserve">se encuentra amenazado en la categoría vulnerable (VU) según la </w:t>
      </w:r>
      <w:r w:rsidDel="00000000" w:rsidR="00000000" w:rsidRPr="00000000">
        <w:rPr>
          <w:rFonts w:ascii="Arial Narrow" w:cs="Arial Narrow" w:eastAsia="Arial Narrow" w:hAnsi="Arial Narrow"/>
          <w:color w:val="080100"/>
          <w:sz w:val="24"/>
          <w:szCs w:val="24"/>
          <w:highlight w:val="white"/>
          <w:rtl w:val="0"/>
        </w:rPr>
        <w:t xml:space="preserve">UICN (2020).</w:t>
      </w:r>
    </w:p>
    <w:p w:rsidR="00000000" w:rsidDel="00000000" w:rsidP="00000000" w:rsidRDefault="00000000" w:rsidRPr="00000000" w14:paraId="00000294">
      <w:pPr>
        <w:jc w:val="both"/>
        <w:rPr>
          <w:rFonts w:ascii="Arial Narrow" w:cs="Arial Narrow" w:eastAsia="Arial Narrow" w:hAnsi="Arial Narrow"/>
          <w:color w:val="080100"/>
          <w:sz w:val="24"/>
          <w:szCs w:val="24"/>
          <w:highlight w:val="white"/>
        </w:rPr>
      </w:pPr>
      <w:r w:rsidDel="00000000" w:rsidR="00000000" w:rsidRPr="00000000">
        <w:rPr>
          <w:rtl w:val="0"/>
        </w:rPr>
      </w:r>
    </w:p>
    <w:p w:rsidR="00000000" w:rsidDel="00000000" w:rsidP="00000000" w:rsidRDefault="00000000" w:rsidRPr="00000000" w14:paraId="0000029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Teniendo en cuenta lo anterior, los mamíferos cuentan con pocos estudios que permitan conocer su estado en el área y determinar cuáles especies son amenazadas, siendo necesario complementar esta información. También existen vacíos de conocimiento en los grupos de insectos, anfibios y reptiles, clasificándose el área protegida con un nivel </w:t>
      </w:r>
      <w:r w:rsidDel="00000000" w:rsidR="00000000" w:rsidRPr="00000000">
        <w:rPr>
          <w:rFonts w:ascii="Arial Narrow" w:cs="Arial Narrow" w:eastAsia="Arial Narrow" w:hAnsi="Arial Narrow"/>
          <w:i w:val="1"/>
          <w:sz w:val="24"/>
          <w:szCs w:val="24"/>
          <w:rtl w:val="0"/>
        </w:rPr>
        <w:t xml:space="preserve">Alto</w:t>
      </w:r>
      <w:r w:rsidDel="00000000" w:rsidR="00000000" w:rsidRPr="00000000">
        <w:rPr>
          <w:rFonts w:ascii="Arial Narrow" w:cs="Arial Narrow" w:eastAsia="Arial Narrow" w:hAnsi="Arial Narrow"/>
          <w:sz w:val="24"/>
          <w:szCs w:val="24"/>
          <w:rtl w:val="0"/>
        </w:rPr>
        <w:t xml:space="preserve"> de vacíos de información en biodiversidad, según un estudio realizado bajo el convenio CARDER–UTP (2019). Este concluye que el área presenta uno de los puntajes más altos de vacíos de información de biodiversidad, junto con el DMI Agualinda, PNR Rio Negro y el DMI Cristalina La Mesa (CARDER–UTP, 2019).  </w:t>
      </w:r>
    </w:p>
    <w:p w:rsidR="00000000" w:rsidDel="00000000" w:rsidP="00000000" w:rsidRDefault="00000000" w:rsidRPr="00000000" w14:paraId="0000029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7">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Flora</w:t>
      </w:r>
    </w:p>
    <w:p w:rsidR="00000000" w:rsidDel="00000000" w:rsidP="00000000" w:rsidRDefault="00000000" w:rsidRPr="00000000" w14:paraId="00000298">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99">
      <w:pPr>
        <w:jc w:val="both"/>
        <w:rPr>
          <w:rFonts w:ascii="Arial Narrow" w:cs="Arial Narrow" w:eastAsia="Arial Narrow" w:hAnsi="Arial Narrow"/>
          <w:sz w:val="24"/>
          <w:szCs w:val="24"/>
        </w:rPr>
      </w:pPr>
      <w:bookmarkStart w:colFirst="0" w:colLast="0" w:name="_heading=h.2u6wntf" w:id="43"/>
      <w:bookmarkEnd w:id="43"/>
      <w:r w:rsidDel="00000000" w:rsidR="00000000" w:rsidRPr="00000000">
        <w:rPr>
          <w:rFonts w:ascii="Arial Narrow" w:cs="Arial Narrow" w:eastAsia="Arial Narrow" w:hAnsi="Arial Narrow"/>
          <w:sz w:val="24"/>
          <w:szCs w:val="24"/>
          <w:rtl w:val="0"/>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rsidR="00000000" w:rsidDel="00000000" w:rsidP="00000000" w:rsidRDefault="00000000" w:rsidRPr="00000000" w14:paraId="0000029A">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rsidR="00000000" w:rsidDel="00000000" w:rsidP="00000000" w:rsidRDefault="00000000" w:rsidRPr="00000000" w14:paraId="0000029C">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rsidR="00000000" w:rsidDel="00000000" w:rsidP="00000000" w:rsidRDefault="00000000" w:rsidRPr="00000000" w14:paraId="0000029E">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w:t>
      </w:r>
      <w:r w:rsidDel="00000000" w:rsidR="00000000" w:rsidRPr="00000000">
        <w:rPr>
          <w:rFonts w:ascii="Arial Narrow" w:cs="Arial Narrow" w:eastAsia="Arial Narrow" w:hAnsi="Arial Narrow"/>
          <w:i w:val="1"/>
          <w:sz w:val="24"/>
          <w:szCs w:val="24"/>
          <w:rtl w:val="0"/>
        </w:rPr>
        <w:t xml:space="preserve">grandis</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i w:val="1"/>
          <w:sz w:val="24"/>
          <w:szCs w:val="24"/>
          <w:rtl w:val="0"/>
        </w:rPr>
        <w:t xml:space="preserve">globulus</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i w:val="1"/>
          <w:sz w:val="24"/>
          <w:szCs w:val="24"/>
          <w:rtl w:val="0"/>
        </w:rPr>
        <w:t xml:space="preserve">urograndis</w:t>
      </w:r>
      <w:r w:rsidDel="00000000" w:rsidR="00000000" w:rsidRPr="00000000">
        <w:rPr>
          <w:rFonts w:ascii="Arial Narrow" w:cs="Arial Narrow" w:eastAsia="Arial Narrow" w:hAnsi="Arial Narrow"/>
          <w:sz w:val="24"/>
          <w:szCs w:val="24"/>
          <w:rtl w:val="0"/>
        </w:rPr>
        <w:t xml:space="preserve">), las acacias (</w:t>
      </w:r>
      <w:r w:rsidDel="00000000" w:rsidR="00000000" w:rsidRPr="00000000">
        <w:rPr>
          <w:rFonts w:ascii="Arial Narrow" w:cs="Arial Narrow" w:eastAsia="Arial Narrow" w:hAnsi="Arial Narrow"/>
          <w:i w:val="1"/>
          <w:sz w:val="24"/>
          <w:szCs w:val="24"/>
          <w:rtl w:val="0"/>
        </w:rPr>
        <w:t xml:space="preserve">mearnsii, melanoxylon</w:t>
      </w:r>
      <w:r w:rsidDel="00000000" w:rsidR="00000000" w:rsidRPr="00000000">
        <w:rPr>
          <w:rFonts w:ascii="Arial Narrow" w:cs="Arial Narrow" w:eastAsia="Arial Narrow" w:hAnsi="Arial Narrow"/>
          <w:sz w:val="24"/>
          <w:szCs w:val="24"/>
          <w:rtl w:val="0"/>
        </w:rPr>
        <w:t xml:space="preserve">)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rsidR="00000000" w:rsidDel="00000000" w:rsidP="00000000" w:rsidRDefault="00000000" w:rsidRPr="00000000" w14:paraId="000002A0">
      <w:pPr>
        <w:jc w:val="both"/>
        <w:rPr>
          <w:rFonts w:ascii="Arial Narrow" w:cs="Arial Narrow" w:eastAsia="Arial Narrow" w:hAnsi="Arial Narrow"/>
          <w:b w:val="1"/>
          <w:i w:val="1"/>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3228975</wp:posOffset>
            </wp:positionH>
            <wp:positionV relativeFrom="paragraph">
              <wp:posOffset>328295</wp:posOffset>
            </wp:positionV>
            <wp:extent cx="2171700" cy="2830195"/>
            <wp:effectExtent b="0" l="0" r="0" t="0"/>
            <wp:wrapSquare wrapText="bothSides" distB="0" distT="0" distL="114300" distR="114300"/>
            <wp:docPr descr="C:\Users\emarin\Desktop\Carpeta fotos\FOTOS FINCAS ARBEY\Peñas Blancas\20210304_121738.jpg" id="746" name="image3.jpg"/>
            <a:graphic>
              <a:graphicData uri="http://schemas.openxmlformats.org/drawingml/2006/picture">
                <pic:pic>
                  <pic:nvPicPr>
                    <pic:cNvPr descr="C:\Users\emarin\Desktop\Carpeta fotos\FOTOS FINCAS ARBEY\Peñas Blancas\20210304_121738.jpg" id="0" name="image3.jpg"/>
                    <pic:cNvPicPr preferRelativeResize="0"/>
                  </pic:nvPicPr>
                  <pic:blipFill>
                    <a:blip r:embed="rId23"/>
                    <a:srcRect b="0" l="0" r="0" t="0"/>
                    <a:stretch>
                      <a:fillRect/>
                    </a:stretch>
                  </pic:blipFill>
                  <pic:spPr>
                    <a:xfrm>
                      <a:off x="0" y="0"/>
                      <a:ext cx="2171700" cy="28301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389890</wp:posOffset>
            </wp:positionH>
            <wp:positionV relativeFrom="paragraph">
              <wp:posOffset>328295</wp:posOffset>
            </wp:positionV>
            <wp:extent cx="2122805" cy="2830195"/>
            <wp:effectExtent b="0" l="0" r="0" t="0"/>
            <wp:wrapSquare wrapText="bothSides" distB="0" distT="0" distL="114300" distR="114300"/>
            <wp:docPr descr="C:\Users\emarin\Desktop\Carpeta fotos\FOTOS FINCAS ARBEY\Peñas Blancas\20210304_133231.jpg" id="761" name="image20.jpg"/>
            <a:graphic>
              <a:graphicData uri="http://schemas.openxmlformats.org/drawingml/2006/picture">
                <pic:pic>
                  <pic:nvPicPr>
                    <pic:cNvPr descr="C:\Users\emarin\Desktop\Carpeta fotos\FOTOS FINCAS ARBEY\Peñas Blancas\20210304_133231.jpg" id="0" name="image20.jpg"/>
                    <pic:cNvPicPr preferRelativeResize="0"/>
                  </pic:nvPicPr>
                  <pic:blipFill>
                    <a:blip r:embed="rId24"/>
                    <a:srcRect b="0" l="0" r="0" t="0"/>
                    <a:stretch>
                      <a:fillRect/>
                    </a:stretch>
                  </pic:blipFill>
                  <pic:spPr>
                    <a:xfrm>
                      <a:off x="0" y="0"/>
                      <a:ext cx="2122805" cy="2830195"/>
                    </a:xfrm>
                    <a:prstGeom prst="rect"/>
                    <a:ln/>
                  </pic:spPr>
                </pic:pic>
              </a:graphicData>
            </a:graphic>
          </wp:anchor>
        </w:drawing>
      </w:r>
    </w:p>
    <w:p w:rsidR="00000000" w:rsidDel="00000000" w:rsidP="00000000" w:rsidRDefault="00000000" w:rsidRPr="00000000" w14:paraId="000002A1">
      <w:pPr>
        <w:jc w:val="both"/>
        <w:rPr>
          <w:rFonts w:ascii="Arial Narrow" w:cs="Arial Narrow" w:eastAsia="Arial Narrow" w:hAnsi="Arial Narrow"/>
          <w:b w:val="1"/>
          <w:i w:val="1"/>
          <w:color w:val="ff0000"/>
          <w:sz w:val="24"/>
          <w:szCs w:val="24"/>
        </w:rPr>
      </w:pPr>
      <w:r w:rsidDel="00000000" w:rsidR="00000000" w:rsidRPr="00000000">
        <w:rPr>
          <w:rFonts w:ascii="Arial Narrow" w:cs="Arial Narrow" w:eastAsia="Arial Narrow" w:hAnsi="Arial Narrow"/>
          <w:b w:val="1"/>
          <w:i w:val="1"/>
          <w:color w:val="ff0000"/>
          <w:sz w:val="24"/>
          <w:szCs w:val="24"/>
          <w:rtl w:val="0"/>
        </w:rPr>
        <w:t xml:space="preserve">        </w:t>
      </w:r>
    </w:p>
    <w:p w:rsidR="00000000" w:rsidDel="00000000" w:rsidP="00000000" w:rsidRDefault="00000000" w:rsidRPr="00000000" w14:paraId="000002A2">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3">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4">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5">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6">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7">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8">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9">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A">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B">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C">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D">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E">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F">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0">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2">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Fotos 1 y 2</w:t>
      </w:r>
    </w:p>
    <w:p w:rsidR="00000000" w:rsidDel="00000000" w:rsidP="00000000" w:rsidRDefault="00000000" w:rsidRPr="00000000" w14:paraId="000002B3">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Municipio de Santuario. Sector Peñas Blancas, Acueducto Municipal de Balboa </w:t>
      </w:r>
    </w:p>
    <w:p w:rsidR="00000000" w:rsidDel="00000000" w:rsidP="00000000" w:rsidRDefault="00000000" w:rsidRPr="00000000" w14:paraId="000002B4">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Regeneración natural bajo pino colombiano y en sitio con preexistencia de ciprés</w:t>
      </w:r>
    </w:p>
    <w:p w:rsidR="00000000" w:rsidDel="00000000" w:rsidP="00000000" w:rsidRDefault="00000000" w:rsidRPr="00000000" w14:paraId="000002B5">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rsidR="00000000" w:rsidDel="00000000" w:rsidP="00000000" w:rsidRDefault="00000000" w:rsidRPr="00000000" w14:paraId="000002B7">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rsidR="00000000" w:rsidDel="00000000" w:rsidP="00000000" w:rsidRDefault="00000000" w:rsidRPr="00000000" w14:paraId="000002B9">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A">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siguiente tabla presenta el listado de 50 especies utilizadas en los procesos de recuperación de coberturas en diferentes predios de propiedad de la CARDER. </w:t>
      </w:r>
    </w:p>
    <w:p w:rsidR="00000000" w:rsidDel="00000000" w:rsidP="00000000" w:rsidRDefault="00000000" w:rsidRPr="00000000" w14:paraId="000002B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C">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tbl>
      <w:tblPr>
        <w:tblStyle w:val="Table12"/>
        <w:tblW w:w="840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
        <w:gridCol w:w="2427"/>
        <w:gridCol w:w="2976"/>
        <w:gridCol w:w="2596"/>
        <w:tblGridChange w:id="0">
          <w:tblGrid>
            <w:gridCol w:w="408"/>
            <w:gridCol w:w="2427"/>
            <w:gridCol w:w="2976"/>
            <w:gridCol w:w="2596"/>
          </w:tblGrid>
        </w:tblGridChange>
      </w:tblGrid>
      <w:tr>
        <w:tc>
          <w:tcPr>
            <w:shd w:fill="a8d08d" w:val="clear"/>
          </w:tcPr>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w:t>
            </w:r>
          </w:p>
        </w:tc>
        <w:tc>
          <w:tcPr>
            <w:shd w:fill="a8d08d" w:val="clear"/>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Nombre Común</w:t>
            </w:r>
          </w:p>
        </w:tc>
        <w:tc>
          <w:tcPr>
            <w:shd w:fill="a8d08d" w:val="clear"/>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Nombre Científico</w:t>
            </w:r>
          </w:p>
        </w:tc>
        <w:tc>
          <w:tcPr>
            <w:shd w:fill="a8d08d" w:val="clear"/>
          </w:tcPr>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Familia</w:t>
            </w:r>
          </w:p>
        </w:tc>
      </w:tr>
      <w:tr>
        <w:tc>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Pino</w:t>
            </w:r>
          </w:p>
        </w:tc>
        <w:tc>
          <w:tcPr/>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Pinus pátula</w:t>
            </w:r>
          </w:p>
        </w:tc>
        <w:tc>
          <w:tcPr/>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Pino</w:t>
            </w:r>
          </w:p>
        </w:tc>
        <w:tc>
          <w:tcPr/>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Pinus tecunumanii</w:t>
            </w:r>
          </w:p>
        </w:tc>
        <w:tc>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Ciprés</w:t>
            </w:r>
          </w:p>
        </w:tc>
        <w:tc>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Cupressus lusitánica</w:t>
            </w:r>
          </w:p>
        </w:tc>
        <w:tc>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Cupresaceae</w:t>
            </w:r>
            <w:r w:rsidDel="00000000" w:rsidR="00000000" w:rsidRPr="00000000">
              <w:rPr>
                <w:rtl w:val="0"/>
              </w:rPr>
            </w:r>
          </w:p>
        </w:tc>
      </w:tr>
      <w:tr>
        <w:tc>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Roble</w:t>
            </w:r>
          </w:p>
        </w:tc>
        <w:tc>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Quercus humboldtii</w:t>
            </w:r>
          </w:p>
        </w:tc>
        <w:tc>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Aliso</w:t>
            </w:r>
          </w:p>
        </w:tc>
        <w:tc>
          <w:tcPr/>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Alnus acuminata</w:t>
            </w:r>
          </w:p>
        </w:tc>
        <w:tc>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Betulaceae</w:t>
            </w:r>
          </w:p>
        </w:tc>
      </w:tr>
      <w:tr>
        <w:tc>
          <w:tcPr/>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Tachuelo</w:t>
            </w:r>
          </w:p>
        </w:tc>
        <w:tc>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Solanum inopinum</w:t>
            </w:r>
          </w:p>
        </w:tc>
        <w:tc>
          <w:tcPr/>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Solanaceae</w:t>
            </w:r>
          </w:p>
        </w:tc>
      </w:tr>
      <w:tr>
        <w:tc>
          <w:tcPr/>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Pino colombiano</w:t>
            </w:r>
          </w:p>
        </w:tc>
        <w:tc>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Retrophyllum rospigliosii</w:t>
            </w:r>
          </w:p>
        </w:tc>
        <w:tc>
          <w:tcPr/>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Podocarpaceae</w:t>
            </w:r>
          </w:p>
        </w:tc>
      </w:tr>
      <w:tr>
        <w:tc>
          <w:tcPr/>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8</w:t>
            </w:r>
          </w:p>
        </w:tc>
        <w:tc>
          <w:tcPr/>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Guadua</w:t>
            </w:r>
          </w:p>
        </w:tc>
        <w:tc>
          <w:tcPr/>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Guadua angustifolia</w:t>
            </w:r>
          </w:p>
        </w:tc>
        <w:tc>
          <w:tcPr/>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Poaceae</w:t>
            </w:r>
          </w:p>
        </w:tc>
      </w:tr>
      <w:tr>
        <w:tc>
          <w:tcPr/>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9</w:t>
            </w:r>
          </w:p>
        </w:tc>
        <w:tc>
          <w:tcPr/>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Urapán </w:t>
            </w:r>
          </w:p>
        </w:tc>
        <w:tc>
          <w:tcPr/>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Fraxinus chinensis</w:t>
            </w:r>
          </w:p>
        </w:tc>
        <w:tc>
          <w:tcPr/>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Oleaceae</w:t>
            </w:r>
          </w:p>
        </w:tc>
      </w:tr>
      <w:tr>
        <w:tc>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Eucalipto</w:t>
            </w:r>
          </w:p>
        </w:tc>
        <w:tc>
          <w:tcPr/>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Eucalyptus grandis</w:t>
            </w:r>
          </w:p>
        </w:tc>
        <w:tc>
          <w:tcPr/>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Mirtaceae</w:t>
            </w:r>
          </w:p>
        </w:tc>
      </w:tr>
      <w:tr>
        <w:tc>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11</w:t>
            </w:r>
          </w:p>
        </w:tc>
        <w:tc>
          <w:tcPr/>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Ámbar, Estoraque</w:t>
            </w:r>
          </w:p>
        </w:tc>
        <w:tc>
          <w:tcPr/>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Liquidambar styraciflua</w:t>
            </w:r>
          </w:p>
        </w:tc>
        <w:tc>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Altingiaceae</w:t>
            </w:r>
          </w:p>
        </w:tc>
      </w:tr>
      <w:tr>
        <w:tc>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Balso blanco</w:t>
            </w:r>
          </w:p>
        </w:tc>
        <w:tc>
          <w:tcPr/>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Heliocarpus popayanensis</w:t>
            </w:r>
          </w:p>
        </w:tc>
        <w:tc>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Malvaceace</w:t>
            </w:r>
          </w:p>
        </w:tc>
      </w:tr>
      <w:tr>
        <w:tc>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13</w:t>
            </w:r>
          </w:p>
        </w:tc>
        <w:tc>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Acacia negra/japonesa</w:t>
            </w:r>
          </w:p>
        </w:tc>
        <w:tc>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Acacia melanoxylon</w:t>
            </w:r>
          </w:p>
        </w:tc>
        <w:tc>
          <w:tcPr/>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Fabaceae</w:t>
            </w:r>
          </w:p>
        </w:tc>
      </w:tr>
      <w:tr>
        <w:tc>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14</w:t>
            </w:r>
          </w:p>
        </w:tc>
        <w:tc>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Acacia australiana</w:t>
            </w:r>
          </w:p>
        </w:tc>
        <w:tc>
          <w:tcPr/>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Acacia mearnsii</w:t>
            </w:r>
            <w:r w:rsidDel="00000000" w:rsidR="00000000" w:rsidRPr="00000000">
              <w:rPr>
                <w:rFonts w:ascii="Arial Narrow" w:cs="Arial Narrow" w:eastAsia="Arial Narrow" w:hAnsi="Arial Narrow"/>
                <w:b w:val="0"/>
                <w:i w:val="1"/>
                <w:smallCaps w:val="0"/>
                <w:strike w:val="0"/>
                <w:color w:val="ff660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Fabaceae</w:t>
            </w:r>
          </w:p>
        </w:tc>
      </w:tr>
      <w:tr>
        <w:tc>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15</w:t>
            </w:r>
          </w:p>
        </w:tc>
        <w:tc>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Zurrumbo</w:t>
            </w:r>
          </w:p>
        </w:tc>
        <w:tc>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Trema michranta</w:t>
            </w:r>
          </w:p>
        </w:tc>
        <w:tc>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Cannabaceae</w:t>
            </w:r>
          </w:p>
        </w:tc>
      </w:tr>
      <w:tr>
        <w:tc>
          <w:tcPr/>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16</w:t>
            </w:r>
          </w:p>
        </w:tc>
        <w:tc>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Guayacán de Manizales</w:t>
            </w:r>
          </w:p>
        </w:tc>
        <w:tc>
          <w:tcPr/>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Lafoensia speciosa</w:t>
            </w:r>
          </w:p>
        </w:tc>
        <w:tc>
          <w:tcPr/>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Lythraceae</w:t>
            </w:r>
          </w:p>
        </w:tc>
      </w:tr>
      <w:tr>
        <w:tc>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17</w:t>
            </w:r>
          </w:p>
        </w:tc>
        <w:tc>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Cedro Negro</w:t>
            </w:r>
          </w:p>
        </w:tc>
        <w:tc>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Juglans neotropica </w:t>
            </w:r>
          </w:p>
        </w:tc>
        <w:tc>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Juglandaceae</w:t>
            </w:r>
          </w:p>
        </w:tc>
      </w:tr>
      <w:tr>
        <w:tc>
          <w:tcPr/>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18</w:t>
            </w:r>
          </w:p>
        </w:tc>
        <w:tc>
          <w:tcPr/>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Sauce</w:t>
            </w:r>
          </w:p>
        </w:tc>
        <w:tc>
          <w:tcPr/>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Salix humboldtiana </w:t>
            </w:r>
          </w:p>
        </w:tc>
        <w:tc>
          <w:tcPr/>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Salicaceae</w:t>
            </w:r>
          </w:p>
        </w:tc>
      </w:tr>
      <w:tr>
        <w:tc>
          <w:tcPr/>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19</w:t>
            </w:r>
          </w:p>
        </w:tc>
        <w:tc>
          <w:tcPr/>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Arboloco</w:t>
            </w:r>
          </w:p>
        </w:tc>
        <w:tc>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Montanoa quadrangularis</w:t>
            </w:r>
          </w:p>
        </w:tc>
        <w:tc>
          <w:tcPr/>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Asteraceae</w:t>
            </w:r>
          </w:p>
        </w:tc>
      </w:tr>
      <w:tr>
        <w:tc>
          <w:tcPr/>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w:t>
            </w:r>
          </w:p>
        </w:tc>
        <w:tc>
          <w:tcPr/>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Drago</w:t>
            </w:r>
          </w:p>
        </w:tc>
        <w:tc>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Croton magdalenensis </w:t>
            </w:r>
          </w:p>
        </w:tc>
        <w:tc>
          <w:tcPr/>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Euphorbiaceae</w:t>
            </w:r>
          </w:p>
        </w:tc>
      </w:tr>
      <w:tr>
        <w:tc>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21</w:t>
            </w:r>
          </w:p>
        </w:tc>
        <w:tc>
          <w:tcPr/>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Riñón – Palo bobo</w:t>
            </w:r>
          </w:p>
        </w:tc>
        <w:tc>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Brunellia comocladifolia</w:t>
            </w:r>
          </w:p>
        </w:tc>
        <w:tc>
          <w:tcPr/>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Bruneliaceae</w:t>
            </w:r>
          </w:p>
        </w:tc>
      </w:tr>
      <w:tr>
        <w:tc>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22</w:t>
            </w:r>
          </w:p>
        </w:tc>
        <w:tc>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Yarumo blanco</w:t>
            </w:r>
          </w:p>
        </w:tc>
        <w:tc>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Cecropia telealba</w:t>
            </w:r>
          </w:p>
        </w:tc>
        <w:tc>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Urticaceae</w:t>
            </w:r>
          </w:p>
        </w:tc>
      </w:tr>
      <w:tr>
        <w:tc>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23</w:t>
            </w:r>
          </w:p>
        </w:tc>
        <w:tc>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Frailejón</w:t>
            </w:r>
          </w:p>
        </w:tc>
        <w:tc>
          <w:tcPr/>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Espeletia hartwegiana</w:t>
            </w:r>
          </w:p>
        </w:tc>
        <w:tc>
          <w:tcPr/>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Asteraceae</w:t>
            </w:r>
          </w:p>
        </w:tc>
      </w:tr>
      <w:tr>
        <w:tc>
          <w:tcPr/>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24</w:t>
            </w:r>
          </w:p>
        </w:tc>
        <w:tc>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Romero</w:t>
            </w:r>
          </w:p>
        </w:tc>
        <w:tc>
          <w:tcPr/>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Diplostephium rosmarinifolium</w:t>
            </w:r>
          </w:p>
        </w:tc>
        <w:tc>
          <w:tcPr/>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Asteraceae</w:t>
            </w:r>
          </w:p>
        </w:tc>
      </w:tr>
      <w:tr>
        <w:tc>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25</w:t>
            </w:r>
          </w:p>
        </w:tc>
        <w:tc>
          <w:tcPr/>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Chachafruto</w:t>
            </w:r>
          </w:p>
        </w:tc>
        <w:tc>
          <w:tcPr/>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Erythrina edulis</w:t>
            </w:r>
          </w:p>
        </w:tc>
        <w:tc>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Fabaceae</w:t>
            </w:r>
          </w:p>
        </w:tc>
      </w:tr>
      <w:tr>
        <w:tc>
          <w:tcPr/>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26</w:t>
            </w:r>
          </w:p>
        </w:tc>
        <w:tc>
          <w:tcPr/>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Guayacán amarillo</w:t>
            </w:r>
          </w:p>
        </w:tc>
        <w:tc>
          <w:tcPr/>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highlight w:val="white"/>
                <w:u w:val="none"/>
                <w:vertAlign w:val="baseline"/>
                <w:rtl w:val="0"/>
              </w:rPr>
              <w:t xml:space="preserve">Handroanthus chrysanthus</w:t>
            </w:r>
            <w:r w:rsidDel="00000000" w:rsidR="00000000" w:rsidRPr="00000000">
              <w:rPr>
                <w:rtl w:val="0"/>
              </w:rPr>
            </w:r>
          </w:p>
        </w:tc>
        <w:tc>
          <w:tcPr/>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Bignoniaceae</w:t>
            </w:r>
          </w:p>
        </w:tc>
      </w:tr>
      <w:tr>
        <w:tc>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27</w:t>
            </w:r>
          </w:p>
        </w:tc>
        <w:tc>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Guayacán rosado</w:t>
            </w:r>
          </w:p>
        </w:tc>
        <w:tc>
          <w:tcPr/>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Tabebuia rosea</w:t>
            </w:r>
          </w:p>
        </w:tc>
        <w:tc>
          <w:tcPr/>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Bignoniaceae</w:t>
            </w:r>
          </w:p>
        </w:tc>
      </w:tr>
      <w:tr>
        <w:tc>
          <w:tcPr/>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28</w:t>
            </w:r>
          </w:p>
        </w:tc>
        <w:tc>
          <w:tcPr/>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Cámbulo</w:t>
            </w:r>
          </w:p>
        </w:tc>
        <w:tc>
          <w:tcPr/>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Erythrina fusca</w:t>
            </w:r>
          </w:p>
        </w:tc>
        <w:tc>
          <w:tcPr/>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Fabaceae</w:t>
            </w:r>
          </w:p>
        </w:tc>
      </w:tr>
      <w:tr>
        <w:tc>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29</w:t>
            </w:r>
          </w:p>
        </w:tc>
        <w:tc>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Nogal cafetero</w:t>
            </w:r>
          </w:p>
        </w:tc>
        <w:tc>
          <w:tcPr/>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Cordia alliodora</w:t>
            </w:r>
          </w:p>
        </w:tc>
        <w:tc>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Boraginaceae</w:t>
            </w:r>
          </w:p>
        </w:tc>
      </w:tr>
      <w:tr>
        <w:tc>
          <w:tcPr/>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30</w:t>
            </w:r>
          </w:p>
        </w:tc>
        <w:tc>
          <w:tcPr/>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Cedro rosado</w:t>
            </w:r>
          </w:p>
        </w:tc>
        <w:tc>
          <w:tcPr/>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Cedrela odorata</w:t>
            </w:r>
          </w:p>
        </w:tc>
        <w:tc>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Meliaceae</w:t>
            </w:r>
          </w:p>
        </w:tc>
      </w:tr>
      <w:tr>
        <w:tc>
          <w:tcPr/>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31</w:t>
            </w:r>
          </w:p>
        </w:tc>
        <w:tc>
          <w:tcPr/>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Cedro de altura</w:t>
            </w:r>
          </w:p>
        </w:tc>
        <w:tc>
          <w:tcPr/>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Cedrela montana</w:t>
            </w:r>
          </w:p>
        </w:tc>
        <w:tc>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Meliaceae</w:t>
            </w:r>
          </w:p>
        </w:tc>
      </w:tr>
      <w:tr>
        <w:tc>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32</w:t>
            </w:r>
          </w:p>
        </w:tc>
        <w:tc>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Balso tambor</w:t>
            </w:r>
          </w:p>
        </w:tc>
        <w:tc>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Ochroma lagopus</w:t>
            </w:r>
          </w:p>
        </w:tc>
        <w:tc>
          <w:tcPr/>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Malvaceae</w:t>
            </w:r>
          </w:p>
        </w:tc>
      </w:tr>
      <w:tr>
        <w:tc>
          <w:tcPr/>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33</w:t>
            </w:r>
          </w:p>
        </w:tc>
        <w:tc>
          <w:tcPr/>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Guásimo</w:t>
            </w:r>
          </w:p>
        </w:tc>
        <w:tc>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Guazuma ulmifolia</w:t>
            </w:r>
          </w:p>
        </w:tc>
        <w:tc>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Malvaceae</w:t>
            </w:r>
          </w:p>
        </w:tc>
      </w:tr>
      <w:tr>
        <w:tc>
          <w:tcPr/>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34</w:t>
            </w:r>
          </w:p>
        </w:tc>
        <w:tc>
          <w:tcPr/>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Mangle de montaña</w:t>
            </w:r>
          </w:p>
        </w:tc>
        <w:tc>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Ramnus sp</w:t>
            </w:r>
          </w:p>
        </w:tc>
        <w:tc>
          <w:tcPr/>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Ramnaceae</w:t>
            </w:r>
          </w:p>
        </w:tc>
      </w:tr>
      <w:tr>
        <w:tc>
          <w:tcPr/>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35</w:t>
            </w:r>
          </w:p>
        </w:tc>
        <w:tc>
          <w:tcPr/>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Guamo santafereño</w:t>
            </w:r>
          </w:p>
        </w:tc>
        <w:tc>
          <w:tcPr/>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Inga codonantha</w:t>
            </w:r>
          </w:p>
        </w:tc>
        <w:tc>
          <w:tcPr/>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Fabaceae</w:t>
            </w:r>
          </w:p>
        </w:tc>
      </w:tr>
      <w:tr>
        <w:tc>
          <w:tcPr/>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36</w:t>
            </w:r>
          </w:p>
        </w:tc>
        <w:tc>
          <w:tcPr/>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Leucaena</w:t>
            </w:r>
          </w:p>
        </w:tc>
        <w:tc>
          <w:tcPr/>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Leucaena leucocephala</w:t>
            </w:r>
          </w:p>
        </w:tc>
        <w:tc>
          <w:tcPr/>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Fabaceae</w:t>
            </w:r>
          </w:p>
        </w:tc>
      </w:tr>
      <w:tr>
        <w:tc>
          <w:tcPr/>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37</w:t>
            </w:r>
          </w:p>
        </w:tc>
        <w:tc>
          <w:tcPr/>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Riñón</w:t>
            </w:r>
          </w:p>
        </w:tc>
        <w:tc>
          <w:tcPr/>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Brunellia sp</w:t>
            </w:r>
          </w:p>
        </w:tc>
        <w:tc>
          <w:tcPr/>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Brunelliaceae</w:t>
            </w:r>
          </w:p>
        </w:tc>
      </w:tr>
      <w:tr>
        <w:tc>
          <w:tcPr/>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38</w:t>
            </w:r>
          </w:p>
        </w:tc>
        <w:tc>
          <w:tcPr/>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Higuerón</w:t>
            </w:r>
          </w:p>
        </w:tc>
        <w:tc>
          <w:tcPr/>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Ficus sp</w:t>
            </w:r>
          </w:p>
        </w:tc>
        <w:tc>
          <w:tcPr/>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Moraceae</w:t>
            </w:r>
          </w:p>
        </w:tc>
      </w:tr>
      <w:tr>
        <w:tc>
          <w:tcPr/>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39</w:t>
            </w:r>
          </w:p>
        </w:tc>
        <w:tc>
          <w:tcPr/>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Lechero o mantequillo</w:t>
            </w:r>
          </w:p>
        </w:tc>
        <w:tc>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Sapium stylare</w:t>
            </w:r>
          </w:p>
        </w:tc>
        <w:tc>
          <w:tcPr/>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Euphorbiaceae</w:t>
            </w:r>
          </w:p>
        </w:tc>
      </w:tr>
      <w:tr>
        <w:tc>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40</w:t>
            </w:r>
          </w:p>
        </w:tc>
        <w:tc>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Molinillo, gallinazo o copachi</w:t>
            </w:r>
          </w:p>
        </w:tc>
        <w:tc>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Magnolia hernandezii</w:t>
            </w:r>
          </w:p>
        </w:tc>
        <w:tc>
          <w:tcPr/>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Magnoliaceae</w:t>
            </w:r>
          </w:p>
        </w:tc>
      </w:tr>
      <w:tr>
        <w:tc>
          <w:tcPr/>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41</w:t>
            </w:r>
          </w:p>
        </w:tc>
        <w:tc>
          <w:tcPr/>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Laurel</w:t>
            </w:r>
          </w:p>
        </w:tc>
        <w:tc>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Aniba muca</w:t>
            </w:r>
          </w:p>
        </w:tc>
        <w:tc>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Lauraceae</w:t>
            </w:r>
          </w:p>
        </w:tc>
      </w:tr>
      <w:tr>
        <w:tc>
          <w:tcPr/>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42</w:t>
            </w:r>
          </w:p>
        </w:tc>
        <w:tc>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Pino colombiano</w:t>
            </w:r>
          </w:p>
        </w:tc>
        <w:tc>
          <w:tcPr/>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Prumnopitys montana</w:t>
            </w:r>
          </w:p>
        </w:tc>
        <w:tc>
          <w:tcPr/>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Podocarpaceae</w:t>
            </w:r>
          </w:p>
        </w:tc>
      </w:tr>
      <w:tr>
        <w:tc>
          <w:tcPr/>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43</w:t>
            </w:r>
          </w:p>
        </w:tc>
        <w:tc>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Pino colombiano</w:t>
            </w:r>
          </w:p>
        </w:tc>
        <w:tc>
          <w:tcPr/>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Decussocarpus – Retrophyllum rospigliosii</w:t>
            </w:r>
          </w:p>
        </w:tc>
        <w:tc>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Podocarpaceae</w:t>
            </w:r>
          </w:p>
        </w:tc>
      </w:tr>
      <w:tr>
        <w:tc>
          <w:tcPr/>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44</w:t>
            </w:r>
          </w:p>
        </w:tc>
        <w:tc>
          <w:tcPr/>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Sietecueros</w:t>
            </w:r>
          </w:p>
        </w:tc>
        <w:tc>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Tibouchina lepidota</w:t>
            </w:r>
          </w:p>
        </w:tc>
        <w:tc>
          <w:tcPr/>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Melastomataceae</w:t>
            </w:r>
          </w:p>
        </w:tc>
      </w:tr>
      <w:tr>
        <w:tc>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45</w:t>
            </w:r>
          </w:p>
        </w:tc>
        <w:tc>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Barcino</w:t>
            </w:r>
          </w:p>
        </w:tc>
        <w:tc>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Calophyllum brasiliense</w:t>
            </w:r>
          </w:p>
        </w:tc>
        <w:tc>
          <w:tcPr/>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Calophyllaceae</w:t>
            </w:r>
          </w:p>
        </w:tc>
      </w:tr>
      <w:tr>
        <w:tc>
          <w:tcPr/>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46</w:t>
            </w:r>
          </w:p>
        </w:tc>
        <w:tc>
          <w:tcPr/>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Ceiba de tierra fría</w:t>
            </w:r>
          </w:p>
        </w:tc>
        <w:tc>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Spirotheca rhodnostyla</w:t>
            </w:r>
          </w:p>
        </w:tc>
        <w:tc>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Bombacaceae</w:t>
            </w:r>
          </w:p>
        </w:tc>
      </w:tr>
      <w:tr>
        <w:trPr>
          <w:trHeight w:val="218" w:hRule="atLeast"/>
        </w:trPr>
        <w:tc>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47</w:t>
            </w:r>
          </w:p>
        </w:tc>
        <w:tc>
          <w:tcPr/>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Pacó</w:t>
            </w:r>
          </w:p>
        </w:tc>
        <w:tc>
          <w:tcPr/>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Gustavia superva</w:t>
            </w:r>
          </w:p>
        </w:tc>
        <w:tc>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Lecythidaceae</w:t>
            </w:r>
          </w:p>
        </w:tc>
      </w:tr>
      <w:tr>
        <w:tc>
          <w:tcPr/>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48</w:t>
            </w:r>
          </w:p>
        </w:tc>
        <w:tc>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Yolombo</w:t>
            </w:r>
          </w:p>
        </w:tc>
        <w:tc>
          <w:tcPr/>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Panopsis yolombo</w:t>
            </w:r>
          </w:p>
        </w:tc>
        <w:tc>
          <w:tcPr/>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Proteaceae</w:t>
            </w:r>
          </w:p>
        </w:tc>
      </w:tr>
      <w:tr>
        <w:tc>
          <w:tcPr/>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49</w:t>
            </w:r>
          </w:p>
        </w:tc>
        <w:tc>
          <w:tcPr/>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Mondey</w:t>
            </w:r>
          </w:p>
        </w:tc>
        <w:tc>
          <w:tcPr/>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Gordonia humboldtii</w:t>
            </w:r>
          </w:p>
        </w:tc>
        <w:tc>
          <w:tcPr/>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Theaceae</w:t>
            </w:r>
          </w:p>
        </w:tc>
      </w:tr>
      <w:tr>
        <w:tc>
          <w:tcPr/>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50</w:t>
            </w:r>
          </w:p>
        </w:tc>
        <w:tc>
          <w:tcPr/>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Cerezo</w:t>
            </w:r>
          </w:p>
        </w:tc>
        <w:tc>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Fresiera sp</w:t>
            </w:r>
          </w:p>
        </w:tc>
        <w:tc>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Rosaceae</w:t>
            </w:r>
          </w:p>
        </w:tc>
      </w:tr>
    </w:tbl>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19c6y18" w:id="44"/>
      <w:bookmarkEnd w:id="44"/>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12. Cincuenta especies utilizadas en procesos de recuperación de coberturas en predios CARDER</w:t>
      </w:r>
    </w:p>
    <w:p w:rsidR="00000000" w:rsidDel="00000000" w:rsidP="00000000" w:rsidRDefault="00000000" w:rsidRPr="00000000" w14:paraId="0000038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Ucumarí, Las Hortensias, Agualinda y Santa Emilia, entre otras, donde coexisten algunas plantaciones de pino, cedro negro, roble, eucalipto, pino colombiano, urapán, guadua, aliso, guayacán de Manizales, arboloco, etc; con los bosques naturales preexistentes o aquellos que se han originado a partir del acondicionamiento de los sitios a través de los árboles establecidos por la Corporación u otras instancias, que han desaparecido dando paso a la regeneración natural.</w:t>
      </w:r>
    </w:p>
    <w:p w:rsidR="00000000" w:rsidDel="00000000" w:rsidP="00000000" w:rsidRDefault="00000000" w:rsidRPr="00000000" w14:paraId="0000038B">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8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w:t>
      </w:r>
      <w:r w:rsidDel="00000000" w:rsidR="00000000" w:rsidRPr="00000000">
        <w:rPr>
          <w:rFonts w:ascii="Arial Narrow" w:cs="Arial Narrow" w:eastAsia="Arial Narrow" w:hAnsi="Arial Narrow"/>
          <w:i w:val="1"/>
          <w:sz w:val="24"/>
          <w:szCs w:val="24"/>
          <w:rtl w:val="0"/>
        </w:rPr>
        <w:t xml:space="preserve">Quercus humboldtii</w:t>
      </w:r>
      <w:r w:rsidDel="00000000" w:rsidR="00000000" w:rsidRPr="00000000">
        <w:rPr>
          <w:rFonts w:ascii="Arial Narrow" w:cs="Arial Narrow" w:eastAsia="Arial Narrow" w:hAnsi="Arial Narrow"/>
          <w:sz w:val="24"/>
          <w:szCs w:val="24"/>
          <w:rtl w:val="0"/>
        </w:rPr>
        <w:t xml:space="preserve">), el cedro negro (</w:t>
      </w:r>
      <w:r w:rsidDel="00000000" w:rsidR="00000000" w:rsidRPr="00000000">
        <w:rPr>
          <w:rFonts w:ascii="Arial Narrow" w:cs="Arial Narrow" w:eastAsia="Arial Narrow" w:hAnsi="Arial Narrow"/>
          <w:i w:val="1"/>
          <w:sz w:val="24"/>
          <w:szCs w:val="24"/>
          <w:rtl w:val="0"/>
        </w:rPr>
        <w:t xml:space="preserve">Juglans neotropica</w:t>
      </w:r>
      <w:r w:rsidDel="00000000" w:rsidR="00000000" w:rsidRPr="00000000">
        <w:rPr>
          <w:rFonts w:ascii="Arial Narrow" w:cs="Arial Narrow" w:eastAsia="Arial Narrow" w:hAnsi="Arial Narrow"/>
          <w:sz w:val="24"/>
          <w:szCs w:val="24"/>
          <w:rtl w:val="0"/>
        </w:rPr>
        <w:t xml:space="preserve">), dos especies de coníferas nativas llamados pinos colombianos (</w:t>
      </w:r>
      <w:r w:rsidDel="00000000" w:rsidR="00000000" w:rsidRPr="00000000">
        <w:rPr>
          <w:rFonts w:ascii="Arial Narrow" w:cs="Arial Narrow" w:eastAsia="Arial Narrow" w:hAnsi="Arial Narrow"/>
          <w:i w:val="1"/>
          <w:sz w:val="24"/>
          <w:szCs w:val="24"/>
          <w:rtl w:val="0"/>
        </w:rPr>
        <w:t xml:space="preserve">Retrophyllum</w:t>
      </w:r>
      <w:r w:rsidDel="00000000" w:rsidR="00000000" w:rsidRPr="00000000">
        <w:rPr>
          <w:rFonts w:ascii="Arial Narrow" w:cs="Arial Narrow" w:eastAsia="Arial Narrow" w:hAnsi="Arial Narrow"/>
          <w:sz w:val="24"/>
          <w:szCs w:val="24"/>
          <w:rtl w:val="0"/>
        </w:rPr>
        <w:t xml:space="preserve"> sp y  </w:t>
      </w:r>
      <w:r w:rsidDel="00000000" w:rsidR="00000000" w:rsidRPr="00000000">
        <w:rPr>
          <w:rFonts w:ascii="Arial Narrow" w:cs="Arial Narrow" w:eastAsia="Arial Narrow" w:hAnsi="Arial Narrow"/>
          <w:i w:val="1"/>
          <w:sz w:val="24"/>
          <w:szCs w:val="24"/>
          <w:rtl w:val="0"/>
        </w:rPr>
        <w:t xml:space="preserve">Podocarpus</w:t>
      </w:r>
      <w:r w:rsidDel="00000000" w:rsidR="00000000" w:rsidRPr="00000000">
        <w:rPr>
          <w:rFonts w:ascii="Arial Narrow" w:cs="Arial Narrow" w:eastAsia="Arial Narrow" w:hAnsi="Arial Narrow"/>
          <w:sz w:val="24"/>
          <w:szCs w:val="24"/>
          <w:rtl w:val="0"/>
        </w:rPr>
        <w:t xml:space="preserve"> sp), el barcino (</w:t>
      </w:r>
      <w:r w:rsidDel="00000000" w:rsidR="00000000" w:rsidRPr="00000000">
        <w:rPr>
          <w:rFonts w:ascii="Arial Narrow" w:cs="Arial Narrow" w:eastAsia="Arial Narrow" w:hAnsi="Arial Narrow"/>
          <w:i w:val="1"/>
          <w:sz w:val="24"/>
          <w:szCs w:val="24"/>
          <w:rtl w:val="0"/>
        </w:rPr>
        <w:t xml:space="preserve">Callophyllum</w:t>
      </w:r>
      <w:r w:rsidDel="00000000" w:rsidR="00000000" w:rsidRPr="00000000">
        <w:rPr>
          <w:rFonts w:ascii="Arial Narrow" w:cs="Arial Narrow" w:eastAsia="Arial Narrow" w:hAnsi="Arial Narrow"/>
          <w:sz w:val="24"/>
          <w:szCs w:val="24"/>
          <w:rtl w:val="0"/>
        </w:rPr>
        <w:t xml:space="preserve"> sp), así como unos pocos representantes de comino (</w:t>
      </w:r>
      <w:r w:rsidDel="00000000" w:rsidR="00000000" w:rsidRPr="00000000">
        <w:rPr>
          <w:rFonts w:ascii="Arial Narrow" w:cs="Arial Narrow" w:eastAsia="Arial Narrow" w:hAnsi="Arial Narrow"/>
          <w:i w:val="1"/>
          <w:sz w:val="24"/>
          <w:szCs w:val="24"/>
          <w:rtl w:val="0"/>
        </w:rPr>
        <w:t xml:space="preserve">Aniba perutilis</w:t>
      </w:r>
      <w:r w:rsidDel="00000000" w:rsidR="00000000" w:rsidRPr="00000000">
        <w:rPr>
          <w:rFonts w:ascii="Arial Narrow" w:cs="Arial Narrow" w:eastAsia="Arial Narrow" w:hAnsi="Arial Narrow"/>
          <w:sz w:val="24"/>
          <w:szCs w:val="24"/>
          <w:rtl w:val="0"/>
        </w:rPr>
        <w:t xml:space="preserve">) y  magnolias (</w:t>
      </w:r>
      <w:r w:rsidDel="00000000" w:rsidR="00000000" w:rsidRPr="00000000">
        <w:rPr>
          <w:rFonts w:ascii="Arial Narrow" w:cs="Arial Narrow" w:eastAsia="Arial Narrow" w:hAnsi="Arial Narrow"/>
          <w:i w:val="1"/>
          <w:sz w:val="24"/>
          <w:szCs w:val="24"/>
          <w:rtl w:val="0"/>
        </w:rPr>
        <w:t xml:space="preserve">Magnolia sp</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38D">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8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rsidR="00000000" w:rsidDel="00000000" w:rsidP="00000000" w:rsidRDefault="00000000" w:rsidRPr="00000000" w14:paraId="0000038F">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9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sentido, a continuación, se hace la reseña de las especies representativas que se han identificado en varios de los predios que se localizan en el municipio de Santuario y Apia: Flora Asociada a Plantación de Pino Colombiano: Cordoncillos, anturios, rascadera, regeneración natural de pino y de guayacán de Manizales, arrayán, nigüito, chusque, manzanillo, espadero, dulumoco, cafecito, laurel peludo, arrayán.</w:t>
      </w:r>
    </w:p>
    <w:p w:rsidR="00000000" w:rsidDel="00000000" w:rsidP="00000000" w:rsidRDefault="00000000" w:rsidRPr="00000000" w14:paraId="00000391">
      <w:pPr>
        <w:spacing w:line="240" w:lineRule="auto"/>
        <w:rPr>
          <w:rFonts w:ascii="Arial Narrow" w:cs="Arial Narrow" w:eastAsia="Arial Narrow" w:hAnsi="Arial Narrow"/>
          <w:sz w:val="24"/>
          <w:szCs w:val="24"/>
        </w:rPr>
      </w:pPr>
      <w:r w:rsidDel="00000000" w:rsidR="00000000" w:rsidRPr="00000000">
        <w:rPr>
          <w:rtl w:val="0"/>
        </w:rPr>
      </w:r>
    </w:p>
    <w:tbl>
      <w:tblPr>
        <w:tblStyle w:val="Table13"/>
        <w:tblW w:w="7939.000000000001"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
        <w:gridCol w:w="1860"/>
        <w:gridCol w:w="3969"/>
        <w:gridCol w:w="1702"/>
        <w:tblGridChange w:id="0">
          <w:tblGrid>
            <w:gridCol w:w="408"/>
            <w:gridCol w:w="1860"/>
            <w:gridCol w:w="3969"/>
            <w:gridCol w:w="1702"/>
          </w:tblGrid>
        </w:tblGridChange>
      </w:tblGrid>
      <w:tr>
        <w:tc>
          <w:tcPr>
            <w:shd w:fill="a8d08d" w:val="clear"/>
          </w:tcPr>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w:t>
            </w:r>
          </w:p>
        </w:tc>
        <w:tc>
          <w:tcPr>
            <w:shd w:fill="a8d08d" w:val="clear"/>
          </w:tcPr>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NOMBRE COMÚN</w:t>
            </w:r>
          </w:p>
        </w:tc>
        <w:tc>
          <w:tcPr>
            <w:shd w:fill="a8d08d" w:val="clear"/>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NOMBRE CIENTÍFICO</w:t>
            </w:r>
          </w:p>
        </w:tc>
        <w:tc>
          <w:tcPr>
            <w:shd w:fill="a8d08d" w:val="clear"/>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FAMILIA</w:t>
            </w:r>
          </w:p>
        </w:tc>
      </w:tr>
      <w:tr>
        <w:tc>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Cedro Negro</w:t>
            </w:r>
          </w:p>
        </w:tc>
        <w:tc>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Juglans neotropica</w:t>
            </w:r>
          </w:p>
        </w:tc>
        <w:tc>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Juglandaceae</w:t>
            </w:r>
            <w:r w:rsidDel="00000000" w:rsidR="00000000" w:rsidRPr="00000000">
              <w:rPr>
                <w:rtl w:val="0"/>
              </w:rPr>
            </w:r>
          </w:p>
        </w:tc>
      </w:tr>
      <w:tr>
        <w:tc>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Roble</w:t>
            </w:r>
          </w:p>
        </w:tc>
        <w:tc>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Quercus humboldtii</w:t>
            </w:r>
          </w:p>
        </w:tc>
        <w:tc>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Laurel orejemula</w:t>
            </w:r>
          </w:p>
        </w:tc>
        <w:tc>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Ocotea longifolia</w:t>
            </w:r>
          </w:p>
        </w:tc>
        <w:tc>
          <w:tcPr/>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Laurel Chisparoso</w:t>
            </w:r>
          </w:p>
        </w:tc>
        <w:tc>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Laurae sp</w:t>
            </w:r>
          </w:p>
        </w:tc>
        <w:tc>
          <w:tcPr/>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Drago</w:t>
            </w:r>
          </w:p>
        </w:tc>
        <w:tc>
          <w:tcPr/>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Croton funckianus – C. magdalenensis</w:t>
            </w:r>
          </w:p>
        </w:tc>
        <w:tc>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Euphorbiaceae</w:t>
            </w:r>
          </w:p>
        </w:tc>
      </w:tr>
      <w:tr>
        <w:tc>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Yarumo </w:t>
            </w:r>
          </w:p>
        </w:tc>
        <w:tc>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Cecropia sp</w:t>
            </w:r>
          </w:p>
        </w:tc>
        <w:tc>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Urticaceae</w:t>
            </w:r>
          </w:p>
        </w:tc>
      </w:tr>
      <w:tr>
        <w:tc>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Lechudo</w:t>
            </w:r>
          </w:p>
        </w:tc>
        <w:tc>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Sapium sp</w:t>
            </w:r>
          </w:p>
        </w:tc>
        <w:tc>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Euphorbiaceae</w:t>
            </w:r>
          </w:p>
        </w:tc>
      </w:tr>
      <w:tr>
        <w:tc>
          <w:tcPr/>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8</w:t>
            </w:r>
          </w:p>
        </w:tc>
        <w:tc>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Nigüitos (3 más comunes)</w:t>
            </w:r>
          </w:p>
        </w:tc>
        <w:tc>
          <w:tcPr/>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Miconia sp – Leandra subseriata – Axinaea macrophylla</w:t>
            </w:r>
          </w:p>
        </w:tc>
        <w:tc>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Melastomataceae</w:t>
            </w:r>
          </w:p>
        </w:tc>
      </w:tr>
      <w:tr>
        <w:tc>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9</w:t>
            </w:r>
          </w:p>
        </w:tc>
        <w:tc>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Helecho arbóreo </w:t>
            </w:r>
          </w:p>
        </w:tc>
        <w:tc>
          <w:tcPr/>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Ciathea arbórea</w:t>
            </w:r>
          </w:p>
        </w:tc>
        <w:tc>
          <w:tcPr/>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Ciatheaceae</w:t>
            </w:r>
          </w:p>
        </w:tc>
      </w:tr>
      <w:tr>
        <w:tc>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Siete Cueros</w:t>
            </w:r>
          </w:p>
        </w:tc>
        <w:tc>
          <w:tcPr/>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Tibouchina lepidota</w:t>
            </w:r>
          </w:p>
        </w:tc>
        <w:tc>
          <w:tcPr/>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Melastomataceae</w:t>
            </w:r>
          </w:p>
        </w:tc>
      </w:tr>
      <w:tr>
        <w:tc>
          <w:tcPr/>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11</w:t>
            </w:r>
          </w:p>
        </w:tc>
        <w:tc>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Silvo silvo</w:t>
            </w:r>
          </w:p>
        </w:tc>
        <w:tc>
          <w:tcPr/>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Hedyosmum racemosum</w:t>
            </w:r>
          </w:p>
        </w:tc>
        <w:tc>
          <w:tcPr/>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Chloranthaceae</w:t>
            </w:r>
          </w:p>
        </w:tc>
      </w:tr>
      <w:tr>
        <w:tc>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Mestizo</w:t>
            </w:r>
          </w:p>
        </w:tc>
        <w:tc>
          <w:tcPr/>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Cupania americana</w:t>
            </w:r>
          </w:p>
        </w:tc>
        <w:tc>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Malvaceace</w:t>
            </w:r>
          </w:p>
        </w:tc>
      </w:tr>
      <w:tr>
        <w:tc>
          <w:tcPr/>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13</w:t>
            </w:r>
          </w:p>
        </w:tc>
        <w:tc>
          <w:tcPr/>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Laurel</w:t>
            </w:r>
          </w:p>
        </w:tc>
        <w:tc>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Nectandra sp</w:t>
            </w:r>
          </w:p>
        </w:tc>
        <w:tc>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Lauraceae</w:t>
            </w:r>
          </w:p>
        </w:tc>
      </w:tr>
      <w:tr>
        <w:tc>
          <w:tcPr/>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14</w:t>
            </w:r>
          </w:p>
        </w:tc>
        <w:tc>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Palmiche</w:t>
            </w:r>
          </w:p>
        </w:tc>
        <w:tc>
          <w:tcPr/>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Prestoea acuminata</w:t>
            </w:r>
            <w:r w:rsidDel="00000000" w:rsidR="00000000" w:rsidRPr="00000000">
              <w:rPr>
                <w:rFonts w:ascii="Arial Narrow" w:cs="Arial Narrow" w:eastAsia="Arial Narrow" w:hAnsi="Arial Narrow"/>
                <w:b w:val="0"/>
                <w:i w:val="1"/>
                <w:smallCaps w:val="0"/>
                <w:strike w:val="0"/>
                <w:color w:val="ff660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Palmae</w:t>
            </w:r>
          </w:p>
        </w:tc>
      </w:tr>
      <w:tr>
        <w:tc>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15</w:t>
            </w:r>
          </w:p>
        </w:tc>
        <w:tc>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Helechos (4 géneros más comunes)</w:t>
            </w:r>
          </w:p>
        </w:tc>
        <w:tc>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Adiantum sp – Pteridium sp – Blechnum sp - Pteridium</w:t>
            </w:r>
          </w:p>
        </w:tc>
        <w:tc>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Pteridaceae</w:t>
            </w:r>
          </w:p>
        </w:tc>
      </w:tr>
      <w:tr>
        <w:tc>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16</w:t>
            </w:r>
          </w:p>
        </w:tc>
        <w:tc>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Anturios </w:t>
            </w:r>
          </w:p>
        </w:tc>
        <w:tc>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Anthurium sp</w:t>
            </w:r>
          </w:p>
        </w:tc>
        <w:tc>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Araceae</w:t>
            </w:r>
          </w:p>
        </w:tc>
      </w:tr>
      <w:tr>
        <w:tc>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17</w:t>
            </w:r>
          </w:p>
        </w:tc>
        <w:tc>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Cabo de hacha</w:t>
            </w:r>
          </w:p>
        </w:tc>
        <w:tc>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Viburnum sp </w:t>
            </w:r>
          </w:p>
        </w:tc>
        <w:tc>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Caprifoliaceae</w:t>
            </w:r>
          </w:p>
        </w:tc>
      </w:tr>
      <w:tr>
        <w:tc>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18</w:t>
            </w:r>
          </w:p>
        </w:tc>
        <w:tc>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Cafecitos de monte</w:t>
            </w:r>
          </w:p>
        </w:tc>
        <w:tc>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Palicourea angustifolia – P. guianensis</w:t>
            </w:r>
          </w:p>
        </w:tc>
        <w:tc>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Rubiaceae</w:t>
            </w:r>
          </w:p>
        </w:tc>
      </w:tr>
      <w:tr>
        <w:tc>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19</w:t>
            </w:r>
          </w:p>
        </w:tc>
        <w:tc>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Higuerón</w:t>
            </w:r>
          </w:p>
        </w:tc>
        <w:tc>
          <w:tcPr/>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Ficus sp</w:t>
            </w:r>
          </w:p>
        </w:tc>
        <w:tc>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Moraceae</w:t>
            </w:r>
          </w:p>
        </w:tc>
      </w:tr>
      <w:tr>
        <w:tc>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w:t>
            </w:r>
          </w:p>
        </w:tc>
        <w:tc>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Cordoncillos</w:t>
            </w:r>
          </w:p>
        </w:tc>
        <w:tc>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Piper sp – Macropiper sp</w:t>
            </w:r>
          </w:p>
        </w:tc>
        <w:tc>
          <w:tcPr/>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Piperaceae</w:t>
            </w:r>
          </w:p>
        </w:tc>
      </w:tr>
      <w:tr>
        <w:tc>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21</w:t>
            </w:r>
          </w:p>
        </w:tc>
        <w:tc>
          <w:tcPr/>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Rascaderas - Cartuchos</w:t>
            </w:r>
          </w:p>
        </w:tc>
        <w:tc>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Xanthosoma sp – Colocasia sp </w:t>
            </w:r>
          </w:p>
        </w:tc>
        <w:tc>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Araceae</w:t>
            </w:r>
          </w:p>
        </w:tc>
      </w:tr>
      <w:tr>
        <w:tc>
          <w:tcPr/>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22</w:t>
            </w:r>
          </w:p>
        </w:tc>
        <w:tc>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Platanillas </w:t>
            </w:r>
          </w:p>
        </w:tc>
        <w:tc>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Heliconia sp – Zingiber sp</w:t>
            </w:r>
          </w:p>
        </w:tc>
        <w:tc>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Heliconiaceae - Zingiberaceae</w:t>
            </w:r>
          </w:p>
        </w:tc>
      </w:tr>
      <w:tr>
        <w:tc>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23</w:t>
            </w:r>
          </w:p>
        </w:tc>
        <w:tc>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Filodendros</w:t>
            </w:r>
          </w:p>
        </w:tc>
        <w:tc>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Philodendron sp</w:t>
            </w:r>
          </w:p>
        </w:tc>
        <w:tc>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Araceae</w:t>
            </w:r>
          </w:p>
        </w:tc>
      </w:tr>
      <w:tr>
        <w:tc>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24</w:t>
            </w:r>
          </w:p>
        </w:tc>
        <w:tc>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Mora </w:t>
            </w:r>
          </w:p>
        </w:tc>
        <w:tc>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Rubus sp</w:t>
            </w:r>
          </w:p>
        </w:tc>
        <w:tc>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Rosaceae</w:t>
            </w:r>
          </w:p>
        </w:tc>
      </w:tr>
      <w:tr>
        <w:tc>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25</w:t>
            </w:r>
          </w:p>
        </w:tc>
        <w:tc>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Quiches</w:t>
            </w:r>
          </w:p>
        </w:tc>
        <w:tc>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Bromelia sp</w:t>
            </w:r>
          </w:p>
        </w:tc>
        <w:tc>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Bromeliaceae</w:t>
            </w:r>
          </w:p>
        </w:tc>
      </w:tr>
      <w:tr>
        <w:tc>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26</w:t>
            </w:r>
          </w:p>
        </w:tc>
        <w:tc>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Manzanillo</w:t>
            </w:r>
          </w:p>
        </w:tc>
        <w:tc>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Toxicodendrom striatum</w:t>
            </w:r>
          </w:p>
        </w:tc>
        <w:tc>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Anacardiaceae</w:t>
            </w:r>
          </w:p>
        </w:tc>
      </w:tr>
      <w:tr>
        <w:tc>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27</w:t>
            </w:r>
          </w:p>
        </w:tc>
        <w:tc>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Espadero</w:t>
            </w:r>
          </w:p>
        </w:tc>
        <w:tc>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Myrsine guianensis</w:t>
            </w:r>
          </w:p>
        </w:tc>
        <w:tc>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Myrsinaceae</w:t>
            </w:r>
          </w:p>
        </w:tc>
      </w:tr>
      <w:tr>
        <w:tc>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28</w:t>
            </w:r>
          </w:p>
        </w:tc>
        <w:tc>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Dulumoco</w:t>
            </w:r>
          </w:p>
        </w:tc>
        <w:tc>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Saurauia</w:t>
            </w:r>
          </w:p>
        </w:tc>
        <w:tc>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Actinidaceae</w:t>
            </w:r>
          </w:p>
        </w:tc>
      </w:tr>
      <w:tr>
        <w:tc>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29</w:t>
            </w:r>
          </w:p>
        </w:tc>
        <w:tc>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Olivo de cera</w:t>
            </w:r>
          </w:p>
        </w:tc>
        <w:tc>
          <w:tcPr/>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Morella pubescens</w:t>
            </w:r>
          </w:p>
        </w:tc>
        <w:tc>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Myricaceae</w:t>
            </w:r>
          </w:p>
        </w:tc>
      </w:tr>
      <w:tr>
        <w:tc>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30</w:t>
            </w:r>
          </w:p>
        </w:tc>
        <w:tc>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Arrayán</w:t>
            </w:r>
          </w:p>
        </w:tc>
        <w:tc>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Mircya sp.</w:t>
            </w:r>
          </w:p>
        </w:tc>
        <w:tc>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Mirtaceae</w:t>
            </w:r>
          </w:p>
        </w:tc>
      </w:tr>
    </w:tbl>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3tbugp1" w:id="45"/>
      <w:bookmarkEnd w:id="45"/>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13. Treinta (30) especies más representativas de regeneración bajo coberturas de plantaciones en las áreas protegidas del SIDAP Risaralda</w:t>
      </w:r>
    </w:p>
    <w:p w:rsidR="00000000" w:rsidDel="00000000" w:rsidP="00000000" w:rsidRDefault="00000000" w:rsidRPr="00000000" w14:paraId="0000040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cobertura vegetal presenta un proceso de recuperación significativo, en los últimos años (CARDER y ECONACE, 2015). Las especies de flora más representativas son el Balso Tambor (</w:t>
      </w:r>
      <w:r w:rsidDel="00000000" w:rsidR="00000000" w:rsidRPr="00000000">
        <w:rPr>
          <w:rFonts w:ascii="Arial Narrow" w:cs="Arial Narrow" w:eastAsia="Arial Narrow" w:hAnsi="Arial Narrow"/>
          <w:i w:val="1"/>
          <w:sz w:val="24"/>
          <w:szCs w:val="24"/>
          <w:rtl w:val="0"/>
        </w:rPr>
        <w:t xml:space="preserve">Ochroma pyramidalis</w:t>
      </w:r>
      <w:r w:rsidDel="00000000" w:rsidR="00000000" w:rsidRPr="00000000">
        <w:rPr>
          <w:rFonts w:ascii="Arial Narrow" w:cs="Arial Narrow" w:eastAsia="Arial Narrow" w:hAnsi="Arial Narrow"/>
          <w:sz w:val="24"/>
          <w:szCs w:val="24"/>
          <w:rtl w:val="0"/>
        </w:rPr>
        <w:t xml:space="preserve">), Surrumbo (</w:t>
      </w:r>
      <w:r w:rsidDel="00000000" w:rsidR="00000000" w:rsidRPr="00000000">
        <w:rPr>
          <w:rFonts w:ascii="Arial Narrow" w:cs="Arial Narrow" w:eastAsia="Arial Narrow" w:hAnsi="Arial Narrow"/>
          <w:i w:val="1"/>
          <w:sz w:val="24"/>
          <w:szCs w:val="24"/>
          <w:rtl w:val="0"/>
        </w:rPr>
        <w:t xml:space="preserve">Trema micrantha</w:t>
      </w:r>
      <w:r w:rsidDel="00000000" w:rsidR="00000000" w:rsidRPr="00000000">
        <w:rPr>
          <w:rFonts w:ascii="Arial Narrow" w:cs="Arial Narrow" w:eastAsia="Arial Narrow" w:hAnsi="Arial Narrow"/>
          <w:sz w:val="24"/>
          <w:szCs w:val="24"/>
          <w:rtl w:val="0"/>
        </w:rPr>
        <w:t xml:space="preserve">), Balso Blanco (</w:t>
      </w:r>
      <w:r w:rsidDel="00000000" w:rsidR="00000000" w:rsidRPr="00000000">
        <w:rPr>
          <w:rFonts w:ascii="Arial Narrow" w:cs="Arial Narrow" w:eastAsia="Arial Narrow" w:hAnsi="Arial Narrow"/>
          <w:i w:val="1"/>
          <w:sz w:val="24"/>
          <w:szCs w:val="24"/>
          <w:rtl w:val="0"/>
        </w:rPr>
        <w:t xml:space="preserve">Heliocarpus popayanensis</w:t>
      </w:r>
      <w:r w:rsidDel="00000000" w:rsidR="00000000" w:rsidRPr="00000000">
        <w:rPr>
          <w:rFonts w:ascii="Arial Narrow" w:cs="Arial Narrow" w:eastAsia="Arial Narrow" w:hAnsi="Arial Narrow"/>
          <w:sz w:val="24"/>
          <w:szCs w:val="24"/>
          <w:rtl w:val="0"/>
        </w:rPr>
        <w:t xml:space="preserve">), Higuerón (</w:t>
      </w:r>
      <w:r w:rsidDel="00000000" w:rsidR="00000000" w:rsidRPr="00000000">
        <w:rPr>
          <w:rFonts w:ascii="Arial Narrow" w:cs="Arial Narrow" w:eastAsia="Arial Narrow" w:hAnsi="Arial Narrow"/>
          <w:i w:val="1"/>
          <w:sz w:val="24"/>
          <w:szCs w:val="24"/>
          <w:rtl w:val="0"/>
        </w:rPr>
        <w:t xml:space="preserve">Ficus glabrata</w:t>
      </w:r>
      <w:r w:rsidDel="00000000" w:rsidR="00000000" w:rsidRPr="00000000">
        <w:rPr>
          <w:rFonts w:ascii="Arial Narrow" w:cs="Arial Narrow" w:eastAsia="Arial Narrow" w:hAnsi="Arial Narrow"/>
          <w:sz w:val="24"/>
          <w:szCs w:val="24"/>
          <w:rtl w:val="0"/>
        </w:rPr>
        <w:t xml:space="preserve">), Mestizo (</w:t>
      </w:r>
      <w:r w:rsidDel="00000000" w:rsidR="00000000" w:rsidRPr="00000000">
        <w:rPr>
          <w:rFonts w:ascii="Arial Narrow" w:cs="Arial Narrow" w:eastAsia="Arial Narrow" w:hAnsi="Arial Narrow"/>
          <w:i w:val="1"/>
          <w:sz w:val="24"/>
          <w:szCs w:val="24"/>
          <w:rtl w:val="0"/>
        </w:rPr>
        <w:t xml:space="preserve">Cupania americana</w:t>
      </w:r>
      <w:r w:rsidDel="00000000" w:rsidR="00000000" w:rsidRPr="00000000">
        <w:rPr>
          <w:rFonts w:ascii="Arial Narrow" w:cs="Arial Narrow" w:eastAsia="Arial Narrow" w:hAnsi="Arial Narrow"/>
          <w:sz w:val="24"/>
          <w:szCs w:val="24"/>
          <w:rtl w:val="0"/>
        </w:rPr>
        <w:t xml:space="preserve">), Guáimaro (</w:t>
      </w:r>
      <w:r w:rsidDel="00000000" w:rsidR="00000000" w:rsidRPr="00000000">
        <w:rPr>
          <w:rFonts w:ascii="Arial Narrow" w:cs="Arial Narrow" w:eastAsia="Arial Narrow" w:hAnsi="Arial Narrow"/>
          <w:i w:val="1"/>
          <w:sz w:val="24"/>
          <w:szCs w:val="24"/>
          <w:rtl w:val="0"/>
        </w:rPr>
        <w:t xml:space="preserve">Brosimum alicastrum</w:t>
      </w:r>
      <w:r w:rsidDel="00000000" w:rsidR="00000000" w:rsidRPr="00000000">
        <w:rPr>
          <w:rFonts w:ascii="Arial Narrow" w:cs="Arial Narrow" w:eastAsia="Arial Narrow" w:hAnsi="Arial Narrow"/>
          <w:sz w:val="24"/>
          <w:szCs w:val="24"/>
          <w:rtl w:val="0"/>
        </w:rPr>
        <w:t xml:space="preserve">), Drago (</w:t>
      </w:r>
      <w:r w:rsidDel="00000000" w:rsidR="00000000" w:rsidRPr="00000000">
        <w:rPr>
          <w:rFonts w:ascii="Arial Narrow" w:cs="Arial Narrow" w:eastAsia="Arial Narrow" w:hAnsi="Arial Narrow"/>
          <w:i w:val="1"/>
          <w:sz w:val="24"/>
          <w:szCs w:val="24"/>
          <w:rtl w:val="0"/>
        </w:rPr>
        <w:t xml:space="preserve">Croton gossypiifoliu</w:t>
      </w:r>
      <w:r w:rsidDel="00000000" w:rsidR="00000000" w:rsidRPr="00000000">
        <w:rPr>
          <w:rFonts w:ascii="Arial Narrow" w:cs="Arial Narrow" w:eastAsia="Arial Narrow" w:hAnsi="Arial Narrow"/>
          <w:sz w:val="24"/>
          <w:szCs w:val="24"/>
          <w:rtl w:val="0"/>
        </w:rPr>
        <w:t xml:space="preserve">s), Laurel (</w:t>
      </w:r>
      <w:r w:rsidDel="00000000" w:rsidR="00000000" w:rsidRPr="00000000">
        <w:rPr>
          <w:rFonts w:ascii="Arial Narrow" w:cs="Arial Narrow" w:eastAsia="Arial Narrow" w:hAnsi="Arial Narrow"/>
          <w:i w:val="1"/>
          <w:sz w:val="24"/>
          <w:szCs w:val="24"/>
          <w:rtl w:val="0"/>
        </w:rPr>
        <w:t xml:space="preserve">Nectandra acutifolia</w:t>
      </w:r>
      <w:r w:rsidDel="00000000" w:rsidR="00000000" w:rsidRPr="00000000">
        <w:rPr>
          <w:rFonts w:ascii="Arial Narrow" w:cs="Arial Narrow" w:eastAsia="Arial Narrow" w:hAnsi="Arial Narrow"/>
          <w:sz w:val="24"/>
          <w:szCs w:val="24"/>
          <w:rtl w:val="0"/>
        </w:rPr>
        <w:t xml:space="preserve">) y Yarumo Negro (</w:t>
      </w:r>
      <w:r w:rsidDel="00000000" w:rsidR="00000000" w:rsidRPr="00000000">
        <w:rPr>
          <w:rFonts w:ascii="Arial Narrow" w:cs="Arial Narrow" w:eastAsia="Arial Narrow" w:hAnsi="Arial Narrow"/>
          <w:i w:val="1"/>
          <w:sz w:val="24"/>
          <w:szCs w:val="24"/>
          <w:rtl w:val="0"/>
        </w:rPr>
        <w:t xml:space="preserve">Cecropia angustifolia</w:t>
      </w:r>
      <w:r w:rsidDel="00000000" w:rsidR="00000000" w:rsidRPr="00000000">
        <w:rPr>
          <w:rFonts w:ascii="Arial Narrow" w:cs="Arial Narrow" w:eastAsia="Arial Narrow" w:hAnsi="Arial Narrow"/>
          <w:sz w:val="24"/>
          <w:szCs w:val="24"/>
          <w:rtl w:val="0"/>
        </w:rPr>
        <w:t xml:space="preserve">) (Walker, 2010). También, según la asociación Asterprobal, se tienen reportes de especies como el Cedro Rosado (</w:t>
      </w:r>
      <w:r w:rsidDel="00000000" w:rsidR="00000000" w:rsidRPr="00000000">
        <w:rPr>
          <w:rFonts w:ascii="Arial Narrow" w:cs="Arial Narrow" w:eastAsia="Arial Narrow" w:hAnsi="Arial Narrow"/>
          <w:i w:val="1"/>
          <w:sz w:val="24"/>
          <w:szCs w:val="24"/>
          <w:rtl w:val="0"/>
        </w:rPr>
        <w:t xml:space="preserve">Cedrela odorata</w:t>
      </w:r>
      <w:r w:rsidDel="00000000" w:rsidR="00000000" w:rsidRPr="00000000">
        <w:rPr>
          <w:rFonts w:ascii="Arial Narrow" w:cs="Arial Narrow" w:eastAsia="Arial Narrow" w:hAnsi="Arial Narrow"/>
          <w:sz w:val="24"/>
          <w:szCs w:val="24"/>
          <w:rtl w:val="0"/>
        </w:rPr>
        <w:t xml:space="preserve">), el Cedro Negro (</w:t>
      </w:r>
      <w:r w:rsidDel="00000000" w:rsidR="00000000" w:rsidRPr="00000000">
        <w:rPr>
          <w:rFonts w:ascii="Arial Narrow" w:cs="Arial Narrow" w:eastAsia="Arial Narrow" w:hAnsi="Arial Narrow"/>
          <w:i w:val="1"/>
          <w:sz w:val="24"/>
          <w:szCs w:val="24"/>
          <w:rtl w:val="0"/>
        </w:rPr>
        <w:t xml:space="preserve">Juglans neotropica</w:t>
      </w:r>
      <w:r w:rsidDel="00000000" w:rsidR="00000000" w:rsidRPr="00000000">
        <w:rPr>
          <w:rFonts w:ascii="Arial Narrow" w:cs="Arial Narrow" w:eastAsia="Arial Narrow" w:hAnsi="Arial Narrow"/>
          <w:sz w:val="24"/>
          <w:szCs w:val="24"/>
          <w:rtl w:val="0"/>
        </w:rPr>
        <w:t xml:space="preserve">) y el Dinde o Doncel </w:t>
      </w:r>
      <w:r w:rsidDel="00000000" w:rsidR="00000000" w:rsidRPr="00000000">
        <w:rPr>
          <w:rFonts w:ascii="Arial Narrow" w:cs="Arial Narrow" w:eastAsia="Arial Narrow" w:hAnsi="Arial Narrow"/>
          <w:i w:val="1"/>
          <w:sz w:val="24"/>
          <w:szCs w:val="24"/>
          <w:rtl w:val="0"/>
        </w:rPr>
        <w:t xml:space="preserve">(Zanthoxylum rhoitolium)</w:t>
      </w:r>
      <w:r w:rsidDel="00000000" w:rsidR="00000000" w:rsidRPr="00000000">
        <w:rPr>
          <w:rFonts w:ascii="Arial Narrow" w:cs="Arial Narrow" w:eastAsia="Arial Narrow" w:hAnsi="Arial Narrow"/>
          <w:sz w:val="24"/>
          <w:szCs w:val="24"/>
          <w:rtl w:val="0"/>
        </w:rPr>
        <w:t xml:space="preserve"> los cuales se encuentran amenazados en peligro de extinción (EN) por la tala y cosecha de madera (MADS, 2018; </w:t>
      </w:r>
      <w:r w:rsidDel="00000000" w:rsidR="00000000" w:rsidRPr="00000000">
        <w:rPr>
          <w:rFonts w:ascii="Arial Narrow" w:cs="Arial Narrow" w:eastAsia="Arial Narrow" w:hAnsi="Arial Narrow"/>
          <w:color w:val="000000"/>
          <w:sz w:val="24"/>
          <w:szCs w:val="24"/>
          <w:rtl w:val="0"/>
        </w:rPr>
        <w:t xml:space="preserve">UICN, 2020)</w:t>
      </w:r>
      <w:r w:rsidDel="00000000" w:rsidR="00000000" w:rsidRPr="00000000">
        <w:rPr>
          <w:rFonts w:ascii="Arial Narrow" w:cs="Arial Narrow" w:eastAsia="Arial Narrow" w:hAnsi="Arial Narrow"/>
          <w:sz w:val="24"/>
          <w:szCs w:val="24"/>
          <w:rtl w:val="0"/>
        </w:rPr>
        <w:t xml:space="preserve">. Teniendo en cuenta esto, la flora del área protegida ha sido poco estudiada, por lo cual se encuentran grandes vacíos de información en lo referente a especies de plantas y hongos, en especial con las especies posiblemente amenazadas (CARDER–UTP, 2019).  </w:t>
      </w:r>
    </w:p>
    <w:p w:rsidR="00000000" w:rsidDel="00000000" w:rsidP="00000000" w:rsidRDefault="00000000" w:rsidRPr="00000000" w14:paraId="0000041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1">
      <w:pPr>
        <w:pStyle w:val="Heading2"/>
        <w:rPr/>
      </w:pPr>
      <w:bookmarkStart w:colFirst="0" w:colLast="0" w:name="_heading=h.28h4qwu" w:id="46"/>
      <w:bookmarkEnd w:id="46"/>
      <w:r w:rsidDel="00000000" w:rsidR="00000000" w:rsidRPr="00000000">
        <w:rPr>
          <w:rtl w:val="0"/>
        </w:rPr>
        <w:t xml:space="preserve">1.5. Análisis multitemporal de usos del suelo</w:t>
      </w:r>
    </w:p>
    <w:p w:rsidR="00000000" w:rsidDel="00000000" w:rsidP="00000000" w:rsidRDefault="00000000" w:rsidRPr="00000000" w14:paraId="0000041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multitemporal de cambios de uso del suelo del AR Alto del Rey, entre el periodo 2011 y 2016, indica que las áreas agrícolas heterogéneas, especialmente los mosaicos de cultivos, disminuyeron al 2016 el 13% y los pastos el 26%, aumentando las áreas de cultivos permanentes como café en 13% y el bosque se incrementó el 25%, especialmente el denso. </w:t>
      </w:r>
    </w:p>
    <w:p w:rsidR="00000000" w:rsidDel="00000000" w:rsidP="00000000" w:rsidRDefault="00000000" w:rsidRPr="00000000" w14:paraId="0000041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1C">
      <w:pPr>
        <w:spacing w:line="240" w:lineRule="auto"/>
        <w:rPr>
          <w:rFonts w:ascii="Arial Narrow" w:cs="Arial Narrow" w:eastAsia="Arial Narrow" w:hAnsi="Arial Narrow"/>
          <w:sz w:val="20"/>
          <w:szCs w:val="20"/>
        </w:rPr>
      </w:pPr>
      <w:r w:rsidDel="00000000" w:rsidR="00000000" w:rsidRPr="00000000">
        <w:rPr>
          <w:rtl w:val="0"/>
        </w:rPr>
      </w:r>
    </w:p>
    <w:tbl>
      <w:tblPr>
        <w:tblStyle w:val="Table14"/>
        <w:tblW w:w="7800.0" w:type="dxa"/>
        <w:jc w:val="center"/>
        <w:tblLayout w:type="fixed"/>
        <w:tblLook w:val="0400"/>
      </w:tblPr>
      <w:tblGrid>
        <w:gridCol w:w="3640"/>
        <w:gridCol w:w="1300"/>
        <w:gridCol w:w="1220"/>
        <w:gridCol w:w="820"/>
        <w:gridCol w:w="820"/>
        <w:tblGridChange w:id="0">
          <w:tblGrid>
            <w:gridCol w:w="3640"/>
            <w:gridCol w:w="1300"/>
            <w:gridCol w:w="1220"/>
            <w:gridCol w:w="820"/>
            <w:gridCol w:w="820"/>
          </w:tblGrid>
        </w:tblGridChange>
      </w:tblGrid>
      <w:tr>
        <w:trPr>
          <w:trHeight w:val="300" w:hRule="atLeast"/>
        </w:trPr>
        <w:tc>
          <w:tcPr>
            <w:tcBorders>
              <w:top w:color="000000" w:space="0" w:sz="8" w:val="single"/>
              <w:left w:color="000000" w:space="0" w:sz="8" w:val="single"/>
              <w:bottom w:color="000000" w:space="0" w:sz="4" w:val="single"/>
              <w:right w:color="000000" w:space="0" w:sz="4" w:val="single"/>
            </w:tcBorders>
            <w:shd w:fill="c6e0b4" w:val="clear"/>
            <w:vAlign w:val="center"/>
          </w:tcPr>
          <w:p w:rsidR="00000000" w:rsidDel="00000000" w:rsidP="00000000" w:rsidRDefault="00000000" w:rsidRPr="00000000" w14:paraId="0000041D">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Usos del suelo</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41E">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2011 (has)</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41F">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2016 (has)</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420">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2011</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421">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2016</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2">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Áreas agrícolas heterogéneas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3">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54,11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4">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35,48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5">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6">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26%</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7">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Áreas con vegetación herbácea o arbustiva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8">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0,48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9">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A">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B">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trHeight w:val="56"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C">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Bosques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D">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12,88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E">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47,09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F">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0">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34%</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1">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Cultivos permanentes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2">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33,66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3">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4">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5">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37%</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6">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Pastos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7">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35,99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8">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9">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A">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B">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Zonas industriales comerciales y red vial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C">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0,45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D">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E">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F">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w:t>
            </w:r>
          </w:p>
        </w:tc>
      </w:tr>
      <w:tr>
        <w:trPr>
          <w:trHeight w:val="315" w:hRule="atLeast"/>
        </w:trPr>
        <w:tc>
          <w:tcPr>
            <w:tcBorders>
              <w:top w:color="000000" w:space="0" w:sz="0" w:val="nil"/>
              <w:left w:color="000000" w:space="0" w:sz="8" w:val="single"/>
              <w:bottom w:color="000000" w:space="0" w:sz="8" w:val="single"/>
              <w:right w:color="000000" w:space="0" w:sz="4" w:val="single"/>
            </w:tcBorders>
            <w:shd w:fill="c6e0b4" w:val="clear"/>
            <w:vAlign w:val="bottom"/>
          </w:tcPr>
          <w:p w:rsidR="00000000" w:rsidDel="00000000" w:rsidP="00000000" w:rsidRDefault="00000000" w:rsidRPr="00000000" w14:paraId="00000440">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Total </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441">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137,58</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442">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137,58</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443">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444">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100%</w:t>
            </w:r>
          </w:p>
        </w:tc>
      </w:tr>
    </w:tbl>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nmf14n" w:id="47"/>
      <w:bookmarkEnd w:id="47"/>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14. Usos del suelo AR Alto del Rey</w:t>
      </w:r>
    </w:p>
    <w:tbl>
      <w:tblPr>
        <w:tblStyle w:val="Table15"/>
        <w:tblW w:w="10631.999999999998" w:type="dxa"/>
        <w:jc w:val="left"/>
        <w:tblInd w:w="-71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28"/>
        <w:gridCol w:w="5504"/>
        <w:tblGridChange w:id="0">
          <w:tblGrid>
            <w:gridCol w:w="5128"/>
            <w:gridCol w:w="5504"/>
          </w:tblGrid>
        </w:tblGridChange>
      </w:tblGrid>
      <w:tr>
        <w:tc>
          <w:tcPr/>
          <w:p w:rsidR="00000000" w:rsidDel="00000000" w:rsidP="00000000" w:rsidRDefault="00000000" w:rsidRPr="00000000" w14:paraId="00000446">
            <w:pPr>
              <w:jc w:val="center"/>
              <w:rPr>
                <w:rFonts w:ascii="Arial Narrow" w:cs="Arial Narrow" w:eastAsia="Arial Narrow" w:hAnsi="Arial Narrow"/>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-662304</wp:posOffset>
                  </wp:positionH>
                  <wp:positionV relativeFrom="paragraph">
                    <wp:posOffset>252730</wp:posOffset>
                  </wp:positionV>
                  <wp:extent cx="2818800" cy="2178000"/>
                  <wp:effectExtent b="6350" l="6350" r="6350" t="6350"/>
                  <wp:wrapSquare wrapText="bothSides" distB="0" distT="0" distL="114300" distR="114300"/>
                  <wp:docPr id="757"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2818800" cy="2178000"/>
                          </a:xfrm>
                          <a:prstGeom prst="rect"/>
                          <a:ln w="6350">
                            <a:solidFill>
                              <a:srgbClr val="92D050"/>
                            </a:solidFill>
                            <a:prstDash val="solid"/>
                          </a:ln>
                        </pic:spPr>
                      </pic:pic>
                    </a:graphicData>
                  </a:graphic>
                </wp:anchor>
              </w:drawing>
            </w:r>
          </w:p>
        </w:tc>
        <w:tc>
          <w:tcPr/>
          <w:p w:rsidR="00000000" w:rsidDel="00000000" w:rsidP="00000000" w:rsidRDefault="00000000" w:rsidRPr="00000000" w14:paraId="00000447">
            <w:pPr>
              <w:keepNext w:val="1"/>
              <w:jc w:val="center"/>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44546a"/>
          <w:sz w:val="18"/>
          <w:szCs w:val="18"/>
          <w:u w:val="none"/>
          <w:shd w:fill="auto" w:val="clear"/>
          <w:vertAlign w:val="baseline"/>
        </w:rPr>
      </w:pPr>
      <w:bookmarkStart w:colFirst="0" w:colLast="0" w:name="_heading=h.37m2jsg" w:id="48"/>
      <w:bookmarkEnd w:id="48"/>
      <w:r w:rsidDel="00000000" w:rsidR="00000000" w:rsidRPr="00000000">
        <w:rPr>
          <w:rtl w:val="0"/>
        </w:rPr>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44546a"/>
          <w:sz w:val="18"/>
          <w:szCs w:val="18"/>
          <w:u w:val="none"/>
          <w:shd w:fill="auto" w:val="clear"/>
          <w:vertAlign w:val="baseline"/>
        </w:rPr>
      </w:pPr>
      <w:bookmarkStart w:colFirst="0" w:colLast="0" w:name="_heading=h.1mrcu09" w:id="49"/>
      <w:bookmarkEnd w:id="4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5. Usos del Suelo AR Alto del Rey 2011</w:t>
        <w:tab/>
        <w:tab/>
      </w:r>
    </w:p>
    <w:p w:rsidR="00000000" w:rsidDel="00000000" w:rsidP="00000000" w:rsidRDefault="00000000" w:rsidRPr="00000000" w14:paraId="0000044A">
      <w:pPr>
        <w:rPr>
          <w:rFonts w:ascii="Arial Narrow" w:cs="Arial Narrow" w:eastAsia="Arial Narrow" w:hAnsi="Arial Narrow"/>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625475</wp:posOffset>
            </wp:positionH>
            <wp:positionV relativeFrom="paragraph">
              <wp:posOffset>8890</wp:posOffset>
            </wp:positionV>
            <wp:extent cx="2818738" cy="2178000"/>
            <wp:effectExtent b="6350" l="6350" r="6350" t="6350"/>
            <wp:wrapSquare wrapText="bothSides" distB="0" distT="0" distL="114300" distR="114300"/>
            <wp:docPr id="756"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2818738" cy="2178000"/>
                    </a:xfrm>
                    <a:prstGeom prst="rect"/>
                    <a:ln w="6350">
                      <a:solidFill>
                        <a:srgbClr val="92D050"/>
                      </a:solidFill>
                      <a:prstDash val="solid"/>
                    </a:ln>
                  </pic:spPr>
                </pic:pic>
              </a:graphicData>
            </a:graphic>
          </wp:anchor>
        </w:drawing>
      </w:r>
    </w:p>
    <w:p w:rsidR="00000000" w:rsidDel="00000000" w:rsidP="00000000" w:rsidRDefault="00000000" w:rsidRPr="00000000" w14:paraId="0000044B">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4C">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4D">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4E">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4F">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0">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1">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2">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3">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4">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5">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6">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7">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46r0co2" w:id="50"/>
      <w:bookmarkEnd w:id="5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6. Usos del suelo AR Alto del Rey 2016</w:t>
      </w:r>
      <w:r w:rsidDel="00000000" w:rsidR="00000000" w:rsidRPr="00000000">
        <w:rPr>
          <w:rtl w:val="0"/>
        </w:rPr>
      </w:r>
    </w:p>
    <w:p w:rsidR="00000000" w:rsidDel="00000000" w:rsidP="00000000" w:rsidRDefault="00000000" w:rsidRPr="00000000" w14:paraId="00000459">
      <w:pPr>
        <w:pStyle w:val="Heading2"/>
        <w:rPr/>
      </w:pPr>
      <w:bookmarkStart w:colFirst="0" w:colLast="0" w:name="_heading=h.2lwamvv" w:id="51"/>
      <w:bookmarkEnd w:id="51"/>
      <w:r w:rsidDel="00000000" w:rsidR="00000000" w:rsidRPr="00000000">
        <w:rPr>
          <w:rtl w:val="0"/>
        </w:rPr>
        <w:t xml:space="preserve">1.6. Contribuciones de las áreas protegidas</w:t>
      </w:r>
    </w:p>
    <w:p w:rsidR="00000000" w:rsidDel="00000000" w:rsidP="00000000" w:rsidRDefault="00000000" w:rsidRPr="00000000" w14:paraId="0000045A">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5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(patrimonio arqueológico), para el desarrollo del ecoturismo. A continuación, se describen algunos de los beneficios potenciales:</w:t>
      </w:r>
    </w:p>
    <w:p w:rsidR="00000000" w:rsidDel="00000000" w:rsidP="00000000" w:rsidRDefault="00000000" w:rsidRPr="00000000" w14:paraId="0000045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5D">
      <w:pPr>
        <w:pStyle w:val="Heading3"/>
        <w:rPr/>
      </w:pPr>
      <w:bookmarkStart w:colFirst="0" w:colLast="0" w:name="_heading=h.111kx3o" w:id="52"/>
      <w:bookmarkEnd w:id="52"/>
      <w:r w:rsidDel="00000000" w:rsidR="00000000" w:rsidRPr="00000000">
        <w:rPr>
          <w:rtl w:val="0"/>
        </w:rPr>
        <w:t xml:space="preserve">1.6.1. Servicios de aprovisionamiento: </w:t>
      </w:r>
    </w:p>
    <w:p w:rsidR="00000000" w:rsidDel="00000000" w:rsidP="00000000" w:rsidRDefault="00000000" w:rsidRPr="00000000" w14:paraId="0000045E">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Agua Potable y materias primas. Son aquellos productos que pueden ser consumibles o que se pueden transformarse en un bien.</w:t>
      </w:r>
      <w:r w:rsidDel="00000000" w:rsidR="00000000" w:rsidRPr="00000000">
        <w:rPr>
          <w:rtl w:val="0"/>
        </w:rPr>
      </w:r>
    </w:p>
    <w:p w:rsidR="00000000" w:rsidDel="00000000" w:rsidP="00000000" w:rsidRDefault="00000000" w:rsidRPr="00000000" w14:paraId="0000045F">
      <w:pPr>
        <w:spacing w:line="240" w:lineRule="auto"/>
        <w:ind w:left="567"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Concesiones de recurso hídrico</w:t>
      </w:r>
    </w:p>
    <w:p w:rsidR="00000000" w:rsidDel="00000000" w:rsidP="00000000" w:rsidRDefault="00000000" w:rsidRPr="00000000" w14:paraId="00000461">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62">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Las 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siete (7) concesiones, con un caudal total otorgado de 0.31 litros /segundo. El mayor porcentaje del recurso hídrico se destina al uso agrícola con el 55%, seguido del 45% en uso humano y doméstico.</w:t>
      </w:r>
      <w:r w:rsidDel="00000000" w:rsidR="00000000" w:rsidRPr="00000000">
        <w:rPr>
          <w:rtl w:val="0"/>
        </w:rPr>
      </w:r>
    </w:p>
    <w:p w:rsidR="00000000" w:rsidDel="00000000" w:rsidP="00000000" w:rsidRDefault="00000000" w:rsidRPr="00000000" w14:paraId="00000463">
      <w:pPr>
        <w:spacing w:line="240" w:lineRule="auto"/>
        <w:ind w:left="567"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829050" cy="2009775"/>
            <wp:docPr id="745" name=""/>
            <a:graphic>
              <a:graphicData uri="http://schemas.openxmlformats.org/drawingml/2006/chart">
                <c:chart r:id="rId27"/>
              </a:graphicData>
            </a:graphic>
          </wp:inline>
        </w:drawing>
      </w:r>
      <w:r w:rsidDel="00000000" w:rsidR="00000000" w:rsidRPr="00000000">
        <w:rPr>
          <w:rtl w:val="0"/>
        </w:rPr>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3l18frh" w:id="53"/>
      <w:bookmarkEnd w:id="5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6. Concesiones otorgadas en el AR Alto del Rey menores a 0.1 l/seg. 2010 – 2019 y destino del recurso hídrico</w:t>
      </w: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695700" cy="2181225"/>
            <wp:docPr id="735" name=""/>
            <a:graphic>
              <a:graphicData uri="http://schemas.openxmlformats.org/drawingml/2006/chart">
                <c:chart r:id="rId28"/>
              </a:graphicData>
            </a:graphic>
          </wp:inline>
        </w:drawing>
      </w: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1"/>
          <w:smallCaps w:val="0"/>
          <w:strike w:val="0"/>
          <w:color w:val="44546a"/>
          <w:sz w:val="18"/>
          <w:szCs w:val="18"/>
          <w:u w:val="none"/>
          <w:shd w:fill="auto" w:val="clear"/>
          <w:vertAlign w:val="baseline"/>
        </w:rPr>
      </w:pPr>
      <w:bookmarkStart w:colFirst="0" w:colLast="0" w:name="_heading=h.206ipza" w:id="54"/>
      <w:bookmarkEnd w:id="5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7. Destino del caudal l/s concesionado en el AR Alto del Rey 2010 – 2019</w:t>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r>
    </w:p>
    <w:tbl>
      <w:tblPr>
        <w:tblStyle w:val="Table16"/>
        <w:tblW w:w="8221.0" w:type="dxa"/>
        <w:jc w:val="left"/>
        <w:tblInd w:w="421.0" w:type="dxa"/>
        <w:tblLayout w:type="fixed"/>
        <w:tblLook w:val="0400"/>
      </w:tblPr>
      <w:tblGrid>
        <w:gridCol w:w="5811"/>
        <w:gridCol w:w="1134"/>
        <w:gridCol w:w="1276"/>
        <w:tblGridChange w:id="0">
          <w:tblGrid>
            <w:gridCol w:w="5811"/>
            <w:gridCol w:w="1134"/>
            <w:gridCol w:w="1276"/>
          </w:tblGrid>
        </w:tblGridChange>
      </w:tblGrid>
      <w:tr>
        <w:trPr>
          <w:trHeight w:val="227" w:hRule="atLeast"/>
        </w:trPr>
        <w:tc>
          <w:tcPr>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46D">
            <w:pPr>
              <w:spacing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Razón Social</w:t>
            </w:r>
          </w:p>
        </w:tc>
        <w:tc>
          <w:tcPr>
            <w:tcBorders>
              <w:top w:color="000000" w:space="0" w:sz="4" w:val="single"/>
              <w:left w:color="000000" w:space="0" w:sz="0" w:val="nil"/>
              <w:bottom w:color="000000" w:space="0" w:sz="4" w:val="single"/>
              <w:right w:color="000000" w:space="0" w:sz="4" w:val="single"/>
            </w:tcBorders>
            <w:shd w:fill="c5e0b3" w:val="clear"/>
            <w:vAlign w:val="center"/>
          </w:tcPr>
          <w:p w:rsidR="00000000" w:rsidDel="00000000" w:rsidP="00000000" w:rsidRDefault="00000000" w:rsidRPr="00000000" w14:paraId="0000046E">
            <w:pPr>
              <w:spacing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Suscriptores</w:t>
            </w:r>
          </w:p>
        </w:tc>
        <w:tc>
          <w:tcPr>
            <w:tcBorders>
              <w:top w:color="000000" w:space="0" w:sz="4" w:val="single"/>
              <w:left w:color="000000" w:space="0" w:sz="0" w:val="nil"/>
              <w:bottom w:color="000000" w:space="0" w:sz="4" w:val="single"/>
              <w:right w:color="000000" w:space="0" w:sz="4" w:val="single"/>
            </w:tcBorders>
            <w:shd w:fill="c5e0b3" w:val="clear"/>
            <w:vAlign w:val="center"/>
          </w:tcPr>
          <w:p w:rsidR="00000000" w:rsidDel="00000000" w:rsidP="00000000" w:rsidRDefault="00000000" w:rsidRPr="00000000" w14:paraId="0000046F">
            <w:pPr>
              <w:spacing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Caudal Total Concesionado</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0">
            <w:pPr>
              <w:spacing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Junta de Acción Comunal vereda Carminales Alto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1">
            <w:pPr>
              <w:spacing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2">
            <w:pPr>
              <w:spacing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0,2</w:t>
            </w:r>
          </w:p>
        </w:tc>
      </w:tr>
    </w:tbl>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4k668n3" w:id="55"/>
      <w:bookmarkEnd w:id="55"/>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15. Acueductos y número de suscriptores que se benefician del recurso hídrico del AR Alto del Rey</w:t>
      </w:r>
    </w:p>
    <w:p w:rsidR="00000000" w:rsidDel="00000000" w:rsidP="00000000" w:rsidRDefault="00000000" w:rsidRPr="00000000" w14:paraId="00000474">
      <w:pPr>
        <w:pStyle w:val="Heading3"/>
        <w:rPr/>
      </w:pPr>
      <w:bookmarkStart w:colFirst="0" w:colLast="0" w:name="_heading=h.2zbgiuw" w:id="56"/>
      <w:bookmarkEnd w:id="56"/>
      <w:r w:rsidDel="00000000" w:rsidR="00000000" w:rsidRPr="00000000">
        <w:rPr>
          <w:rtl w:val="0"/>
        </w:rPr>
        <w:t xml:space="preserve">1.6.2. Calidad del agua superficial - Índice de calidad del agua IFSN:</w:t>
      </w:r>
    </w:p>
    <w:p w:rsidR="00000000" w:rsidDel="00000000" w:rsidP="00000000" w:rsidRDefault="00000000" w:rsidRPr="00000000" w14:paraId="00000475">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r w:rsidDel="00000000" w:rsidR="00000000" w:rsidRPr="00000000">
        <w:rPr>
          <w:rtl w:val="0"/>
        </w:rPr>
      </w:r>
    </w:p>
    <w:p w:rsidR="00000000" w:rsidDel="00000000" w:rsidP="00000000" w:rsidRDefault="00000000" w:rsidRPr="00000000" w14:paraId="00000476">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565176" cy="2354210"/>
            <wp:docPr id="736" name=""/>
            <a:graphic>
              <a:graphicData uri="http://schemas.openxmlformats.org/drawingml/2006/chart">
                <c:chart r:id="rId29"/>
              </a:graphicData>
            </a:graphic>
          </wp:inline>
        </w:drawing>
      </w: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1egqt2p" w:id="57"/>
      <w:bookmarkEnd w:id="5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8. Índice de calidad del agua, IFSN Quebrada La Bedoya o Granatal período 2010 - 2018</w:t>
      </w:r>
      <w:r w:rsidDel="00000000" w:rsidR="00000000" w:rsidRPr="00000000">
        <w:rPr>
          <w:rtl w:val="0"/>
        </w:rPr>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área protegida posee varias corrientes hidricas de importancia como la quebrada La Bedoya la principal fuente de agua de la cual se abastecen habitantes del área protegida y algunas veredas asentadas aguas abajo. Aunque las fuentes de agua que nacen en el allí, no abastecen el acueducto municipal de Balboa, es de gran importancia su conservación y monitoreo de la calidad para la población rural de asentada en este sector. La gráfica 8 muestra el resultado del índice IFSN en un rango de 71 a 90, con calidad del agua buena, entre el periodo 2010 – 2018.</w:t>
      </w:r>
    </w:p>
    <w:p w:rsidR="00000000" w:rsidDel="00000000" w:rsidP="00000000" w:rsidRDefault="00000000" w:rsidRPr="00000000" w14:paraId="0000047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Aprovechamientos forestales: </w:t>
      </w:r>
    </w:p>
    <w:p w:rsidR="00000000" w:rsidDel="00000000" w:rsidP="00000000" w:rsidRDefault="00000000" w:rsidRPr="00000000" w14:paraId="0000047D">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realizó un único otorgamiento en la vereda Carminales, en el año 2018 de Guadua (</w:t>
      </w:r>
      <w:r w:rsidDel="00000000" w:rsidR="00000000" w:rsidRPr="00000000">
        <w:rPr>
          <w:rFonts w:ascii="Arial Narrow" w:cs="Arial Narrow" w:eastAsia="Arial Narrow" w:hAnsi="Arial Narrow"/>
          <w:i w:val="1"/>
          <w:sz w:val="24"/>
          <w:szCs w:val="24"/>
          <w:rtl w:val="0"/>
        </w:rPr>
        <w:t xml:space="preserve">Guadua angustifolia), </w:t>
      </w:r>
      <w:r w:rsidDel="00000000" w:rsidR="00000000" w:rsidRPr="00000000">
        <w:rPr>
          <w:rFonts w:ascii="Arial Narrow" w:cs="Arial Narrow" w:eastAsia="Arial Narrow" w:hAnsi="Arial Narrow"/>
          <w:sz w:val="24"/>
          <w:szCs w:val="24"/>
          <w:rtl w:val="0"/>
        </w:rPr>
        <w:t xml:space="preserve">con un volumen aprovechado de 15.2 m3.</w:t>
      </w:r>
    </w:p>
    <w:p w:rsidR="00000000" w:rsidDel="00000000" w:rsidP="00000000" w:rsidRDefault="00000000" w:rsidRPr="00000000" w14:paraId="0000047E">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7F">
      <w:pPr>
        <w:pStyle w:val="Heading3"/>
        <w:rPr/>
      </w:pPr>
      <w:bookmarkStart w:colFirst="0" w:colLast="0" w:name="_heading=h.3ygebqi" w:id="58"/>
      <w:bookmarkEnd w:id="58"/>
      <w:r w:rsidDel="00000000" w:rsidR="00000000" w:rsidRPr="00000000">
        <w:rPr>
          <w:rtl w:val="0"/>
        </w:rPr>
        <w:t xml:space="preserve">1.6.3. Servicios de regulación: </w:t>
      </w:r>
    </w:p>
    <w:p w:rsidR="00000000" w:rsidDel="00000000" w:rsidP="00000000" w:rsidRDefault="00000000" w:rsidRPr="00000000" w14:paraId="00000480">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Purificación del agua y tratamiento de residuos. Son aquellos bienes producidos por la regulación de la naturaleza.</w:t>
      </w:r>
    </w:p>
    <w:p w:rsidR="00000000" w:rsidDel="00000000" w:rsidP="00000000" w:rsidRDefault="00000000" w:rsidRPr="00000000" w14:paraId="00000481">
      <w:pPr>
        <w:spacing w:line="240" w:lineRule="auto"/>
        <w:ind w:left="709"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Vertimientos de aguas residuales:</w:t>
      </w:r>
    </w:p>
    <w:p w:rsidR="00000000" w:rsidDel="00000000" w:rsidP="00000000" w:rsidRDefault="00000000" w:rsidRPr="00000000" w14:paraId="00000483">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El trámite ambiental, relacionado con la disposición de descargas liquidas o vertimientos a un cuerpo de agua, se tramitan juntamente con el permiso de concesión de agua para acueductos veredales o viviendas dispersas. Para el área protegida en el periodo 2010 – 2019 se han otorgado seis (6) permisos de vertimientos de aguas residuales domésticas, con un caudal de 0.067 litros /segundo.</w:t>
      </w:r>
      <w:r w:rsidDel="00000000" w:rsidR="00000000" w:rsidRPr="00000000">
        <w:rPr>
          <w:rtl w:val="0"/>
        </w:rPr>
      </w:r>
    </w:p>
    <w:p w:rsidR="00000000" w:rsidDel="00000000" w:rsidP="00000000" w:rsidRDefault="00000000" w:rsidRPr="00000000" w14:paraId="00000484">
      <w:pPr>
        <w:spacing w:line="240" w:lineRule="auto"/>
        <w:ind w:hanging="36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85">
      <w:pPr>
        <w:pStyle w:val="Heading3"/>
        <w:rPr/>
      </w:pPr>
      <w:bookmarkStart w:colFirst="0" w:colLast="0" w:name="_heading=h.2dlolyb" w:id="59"/>
      <w:bookmarkEnd w:id="59"/>
      <w:r w:rsidDel="00000000" w:rsidR="00000000" w:rsidRPr="00000000">
        <w:rPr>
          <w:rtl w:val="0"/>
        </w:rPr>
        <w:t xml:space="preserve">1.6.4. Servicios culturales. Recreación y ecoturismo: </w:t>
      </w:r>
    </w:p>
    <w:p w:rsidR="00000000" w:rsidDel="00000000" w:rsidP="00000000" w:rsidRDefault="00000000" w:rsidRPr="00000000" w14:paraId="0000048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Son aquellas riquezas inmateriales que nos sirven para construir nuestra vida social.</w:t>
      </w:r>
    </w:p>
    <w:p w:rsidR="00000000" w:rsidDel="00000000" w:rsidP="00000000" w:rsidRDefault="00000000" w:rsidRPr="00000000" w14:paraId="00000487">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Importancia entre la conservación desde los ecosistemas y la biodiversidad versus la conservación del patrimonio cultural en las áreas protegidas. </w:t>
      </w:r>
    </w:p>
    <w:p w:rsidR="00000000" w:rsidDel="00000000" w:rsidP="00000000" w:rsidRDefault="00000000" w:rsidRPr="00000000" w14:paraId="00000489">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8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Del="00000000" w:rsidR="00000000" w:rsidRPr="00000000">
        <w:rPr>
          <w:rFonts w:ascii="Arial Narrow" w:cs="Arial Narrow" w:eastAsia="Arial Narrow" w:hAnsi="Arial Narrow"/>
          <w:sz w:val="24"/>
          <w:szCs w:val="24"/>
          <w:rtl w:val="0"/>
        </w:rPr>
        <w:t xml:space="preserve">”(Artículo 4, Ley de Cultura 397 de 1997).</w:t>
      </w:r>
    </w:p>
    <w:p w:rsidR="00000000" w:rsidDel="00000000" w:rsidP="00000000" w:rsidRDefault="00000000" w:rsidRPr="00000000" w14:paraId="0000048B">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Paisaje Cultural Cafetero, PCC.</w:t>
      </w:r>
    </w:p>
    <w:p w:rsidR="00000000" w:rsidDel="00000000" w:rsidP="00000000" w:rsidRDefault="00000000" w:rsidRPr="00000000" w14:paraId="0000048D">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el marco de las áreas protegidas del departamento de Risaralda se cuenta con la declaratoria del Paisaje Cultural Cafetero, PCC, </w:t>
      </w:r>
      <w:r w:rsidDel="00000000" w:rsidR="00000000" w:rsidRPr="00000000">
        <w:rPr>
          <w:rFonts w:ascii="Arial Narrow" w:cs="Arial Narrow" w:eastAsia="Arial Narrow" w:hAnsi="Arial Narrow"/>
          <w:sz w:val="24"/>
          <w:szCs w:val="24"/>
          <w:rtl w:val="0"/>
        </w:rPr>
        <w:t xml:space="preserve">Cartilla Paisaje Cultural Cafetero.</w:t>
      </w: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drawing>
          <wp:inline distB="0" distT="0" distL="0" distR="0">
            <wp:extent cx="2514600" cy="2695575"/>
            <wp:effectExtent b="88900" l="88900" r="88900" t="88900"/>
            <wp:docPr descr="C:\Docs constanza\Constanza\Constanza cosmos\APOMCASocial\Risaralda\DIAGNOSTICO\articulosperiodico\DSC_0247.JPG" id="751" name="image16.jpg"/>
            <a:graphic>
              <a:graphicData uri="http://schemas.openxmlformats.org/drawingml/2006/picture">
                <pic:pic>
                  <pic:nvPicPr>
                    <pic:cNvPr descr="C:\Docs constanza\Constanza\Constanza cosmos\APOMCASocial\Risaralda\DIAGNOSTICO\articulosperiodico\DSC_0247.JPG" id="0" name="image16.jpg"/>
                    <pic:cNvPicPr preferRelativeResize="0"/>
                  </pic:nvPicPr>
                  <pic:blipFill>
                    <a:blip r:embed="rId30"/>
                    <a:srcRect b="0" l="0" r="0" t="0"/>
                    <a:stretch>
                      <a:fillRect/>
                    </a:stretch>
                  </pic:blipFill>
                  <pic:spPr>
                    <a:xfrm>
                      <a:off x="0" y="0"/>
                      <a:ext cx="2514600" cy="2695575"/>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d0d0d"/>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d0d0d"/>
          <w:sz w:val="20"/>
          <w:szCs w:val="20"/>
          <w:u w:val="none"/>
          <w:shd w:fill="auto" w:val="clear"/>
          <w:vertAlign w:val="baseline"/>
          <w:rtl w:val="0"/>
        </w:rPr>
        <w:t xml:space="preserve">Fuente: SUEJE Edición N°6 2016.</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1">
      <w:pPr>
        <w:jc w:val="both"/>
        <w:rPr>
          <w:rFonts w:ascii="Arial Narrow" w:cs="Arial Narrow" w:eastAsia="Arial Narrow" w:hAnsi="Arial Narrow"/>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Los paisajes culturales son aquellos sitios o lugares producto de la interacción del hombre con la naturaleza, ilustran la evolución social y los asentamientos humanos en el tiempo, la forma como las distintas generaciones han resuelto problemas físicos y la transformación del ambiente natural por las fuerzas sociales, económicas y culturales. El área determinada, que permitió soportar la candidatura para ser declarada ante la UNESCO como Paisaje Cultural Cafetero, constituye un ejemplo sobresaliente y representativo del territorio colombiano, que contiene la mayor concentración de valores culturales, que son el resultado de la actividad cafetera en su relación histórica con la naturaleza y el paisaje” </w:t>
      </w:r>
      <w:r w:rsidDel="00000000" w:rsidR="00000000" w:rsidRPr="00000000">
        <w:rPr>
          <w:rFonts w:ascii="Arial Narrow" w:cs="Arial Narrow" w:eastAsia="Arial Narrow" w:hAnsi="Arial Narrow"/>
          <w:sz w:val="24"/>
          <w:szCs w:val="24"/>
          <w:rtl w:val="0"/>
        </w:rPr>
        <w:t xml:space="preserve">(SUEJE: 2010).</w:t>
      </w:r>
      <w:r w:rsidDel="00000000" w:rsidR="00000000" w:rsidRPr="00000000">
        <w:rPr>
          <w:rtl w:val="0"/>
        </w:rPr>
      </w:r>
    </w:p>
    <w:p w:rsidR="00000000" w:rsidDel="00000000" w:rsidP="00000000" w:rsidRDefault="00000000" w:rsidRPr="00000000" w14:paraId="0000049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93">
      <w:pPr>
        <w:widowControl w:val="0"/>
        <w:jc w:val="both"/>
        <w:rPr>
          <w:rFonts w:ascii="Arial Narrow" w:cs="Arial Narrow" w:eastAsia="Arial Narrow" w:hAnsi="Arial Narrow"/>
          <w:sz w:val="24"/>
          <w:szCs w:val="24"/>
        </w:rPr>
      </w:pPr>
      <w:bookmarkStart w:colFirst="0" w:colLast="0" w:name="_heading=h.sqyw64" w:id="60"/>
      <w:bookmarkEnd w:id="60"/>
      <w:r w:rsidDel="00000000" w:rsidR="00000000" w:rsidRPr="00000000">
        <w:rPr>
          <w:rFonts w:ascii="Arial Narrow" w:cs="Arial Narrow" w:eastAsia="Arial Narrow" w:hAnsi="Arial Narrow"/>
          <w:sz w:val="24"/>
          <w:szCs w:val="24"/>
          <w:rtl w:val="0"/>
        </w:rPr>
        <w:t xml:space="preserve">Los beneficios de la inscripción mundial del PCC en la lista de Patrimonio Mundial, se podrían reflejar en los 11 municipios del departamento, a través de: Reconocimiento mundial del patrimonio cultural y natural de la región. Apropiación social del patrimonio cultural y natural. Beneficios ambientales, permitiendo revalorar un conjunto cultural, espacial y un estilo de vida, orientadas a estimular prácticas amigables con el medio ambiente, la gestión como negocios verdes, procesos educativos y reformas normativas. Bienestar económico y social, a partir de la puesta en valor y uso turístico. Asistencia internacional (cooperación técnica, asistencia de emergencias, formación, promoción, programas educativos, entre otros).</w:t>
      </w:r>
    </w:p>
    <w:p w:rsidR="00000000" w:rsidDel="00000000" w:rsidP="00000000" w:rsidRDefault="00000000" w:rsidRPr="00000000" w14:paraId="00000494">
      <w:pPr>
        <w:widowControl w:val="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95">
      <w:pPr>
        <w:widowControl w:val="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Atributos del Paisaje Cultural Cafetero: </w:t>
      </w:r>
      <w:r w:rsidDel="00000000" w:rsidR="00000000" w:rsidRPr="00000000">
        <w:rPr>
          <w:rFonts w:ascii="Arial Narrow" w:cs="Arial Narrow" w:eastAsia="Arial Narrow" w:hAnsi="Arial Narrow"/>
          <w:sz w:val="24"/>
          <w:szCs w:val="24"/>
          <w:rtl w:val="0"/>
        </w:rPr>
        <w:t xml:space="preserve">Los atributos del PCC son las huellas que han dejado los pobladores en el paisaje de gran parte de los departamentos de Quindío, Risaralda, Caldas y norte del Valle del Cauca, y están representados en 16 atributos, que lo hicieron excepcional para convertirse en Patrimonio Mundial. </w:t>
      </w:r>
      <w:r w:rsidDel="00000000" w:rsidR="00000000" w:rsidRPr="00000000">
        <w:rPr>
          <w:rtl w:val="0"/>
        </w:rPr>
      </w:r>
    </w:p>
    <w:p w:rsidR="00000000" w:rsidDel="00000000" w:rsidP="00000000" w:rsidRDefault="00000000" w:rsidRPr="00000000" w14:paraId="00000496">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9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Café de montaña: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Son las áreas de café dentro de la franja de altitud óptima para este cultivo, entre los 1.000 y 2.000 metros de altitud, especialmente entre 1.400 y 1.800 m.s.n.m.</w:t>
      </w:r>
    </w:p>
    <w:p w:rsidR="00000000" w:rsidDel="00000000" w:rsidP="00000000" w:rsidRDefault="00000000" w:rsidRPr="00000000" w14:paraId="0000049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Predominio de café</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Expresa el influjo del uso de la tierra para cultivo de café sobre otros cultivos.</w:t>
      </w:r>
    </w:p>
    <w:p w:rsidR="00000000" w:rsidDel="00000000" w:rsidP="00000000" w:rsidRDefault="00000000" w:rsidRPr="00000000" w14:paraId="0000049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Cultivo en ladera</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la adaptación de los cultivos de café en zonas de alta pendiente mayores del 25%, atributo que le da una forma y diseño particular al paisaje.</w:t>
      </w:r>
    </w:p>
    <w:p w:rsidR="00000000" w:rsidDel="00000000" w:rsidP="00000000" w:rsidRDefault="00000000" w:rsidRPr="00000000" w14:paraId="0000049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Edad de la caficultura: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Consiste en la renovación de plantaciones de café permitiendo mantener joven y vivo el paisaje. Este atributo posibilita la permanencia del PCC.</w:t>
      </w:r>
    </w:p>
    <w:p w:rsidR="00000000" w:rsidDel="00000000" w:rsidP="00000000" w:rsidRDefault="00000000" w:rsidRPr="00000000" w14:paraId="0000049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Influencia de la modernización: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Comprende la adaptación del paisaje a las condiciones de la vida moderna como la infraestructura de vías de comunicación y servicios públicos, salud y educación. </w:t>
      </w:r>
    </w:p>
    <w:p w:rsidR="00000000" w:rsidDel="00000000" w:rsidP="00000000" w:rsidRDefault="00000000" w:rsidRPr="00000000" w14:paraId="0000049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Institucionalidad cafetera y redes económicas afines: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refiere a la existencia de redes institucionales y económicas que inciden en el funcionamiento y dinámica del PCC. Son la garantía de la sustentabilidad del paisaje como sitio patrimonial.</w:t>
      </w:r>
    </w:p>
    <w:p w:rsidR="00000000" w:rsidDel="00000000" w:rsidP="00000000" w:rsidRDefault="00000000" w:rsidRPr="00000000" w14:paraId="0000049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Tradición histórica en la producción de café:</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Hace referencia a la persistencia del cultivo de café y la resistencia al cambio en el uso del suelo a pesar de la crisis cafetera.</w:t>
      </w:r>
    </w:p>
    <w:p w:rsidR="00000000" w:rsidDel="00000000" w:rsidP="00000000" w:rsidRDefault="00000000" w:rsidRPr="00000000" w14:paraId="0000049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Estructura de pequeña propiedad cafetera: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La prevalencia del minifundio como sistema de propiedad, es otro elemento que configura el paisaje cafetero.</w:t>
      </w:r>
    </w:p>
    <w:p w:rsidR="00000000" w:rsidDel="00000000" w:rsidP="00000000" w:rsidRDefault="00000000" w:rsidRPr="00000000" w14:paraId="0000049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Cultivos Múltiples: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la multiplicidad de cultivos que conforman una “colcha de retazos,” elemento característico del Paisaje Cultural Cafetero.</w:t>
      </w:r>
    </w:p>
    <w:p w:rsidR="00000000" w:rsidDel="00000000" w:rsidP="00000000" w:rsidRDefault="00000000" w:rsidRPr="00000000" w14:paraId="000004A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Tecnologías y formas de producción sostenibles en la cadena productiva del café:</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Este atributo muestra las condiciones para producir café de manera sostenible, y cómo la comunidad cafetera ha adaptado su forma de trabajo tradicional, hacia mejores condiciones de producción modernas y con menos impactos ambientales.</w:t>
      </w:r>
    </w:p>
    <w:p w:rsidR="00000000" w:rsidDel="00000000" w:rsidP="00000000" w:rsidRDefault="00000000" w:rsidRPr="00000000" w14:paraId="000004A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A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Además del paisaje y los usos del suelo en relación con el cultivo de café, se encuentra otros elementos del patrimonio material que hacen parte del conjunto de Paisaje Cultural cafetero, como el transporte interveredal.</w:t>
      </w:r>
    </w:p>
    <w:p w:rsidR="00000000" w:rsidDel="00000000" w:rsidP="00000000" w:rsidRDefault="00000000" w:rsidRPr="00000000" w14:paraId="000004A3">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Patrimonio arqueológico.</w:t>
      </w:r>
    </w:p>
    <w:p w:rsidR="00000000" w:rsidDel="00000000" w:rsidP="00000000" w:rsidRDefault="00000000" w:rsidRPr="00000000" w14:paraId="000004A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Desde hace más o menos diez mil años, se tiene conocimiento de la presencia humana en el Eje Cafetero de acuerdo con los hallazgos arqueológicos. Los artefactos, muestran evidencia de domesticación de plantas alimenticias y animales hasta la evolución de prácticas agrícolas. De acuerdo con la identificación en los talleres participativos y con la información de fuentes secundarias el potencial arqueológico, se encuentra por investigar. </w:t>
      </w:r>
    </w:p>
    <w:p w:rsidR="00000000" w:rsidDel="00000000" w:rsidP="00000000" w:rsidRDefault="00000000" w:rsidRPr="00000000" w14:paraId="000004A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A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inventarios realizados por el laboratorio de Ecología </w:t>
      </w:r>
      <w:r w:rsidDel="00000000" w:rsidR="00000000" w:rsidRPr="00000000">
        <w:rPr>
          <w:rFonts w:ascii="Arial Narrow" w:cs="Arial Narrow" w:eastAsia="Arial Narrow" w:hAnsi="Arial Narrow"/>
          <w:rtl w:val="0"/>
        </w:rPr>
        <w:t xml:space="preserve">H</w:t>
      </w:r>
      <w:r w:rsidDel="00000000" w:rsidR="00000000" w:rsidRPr="00000000">
        <w:rPr>
          <w:rFonts w:ascii="Arial Narrow" w:cs="Arial Narrow" w:eastAsia="Arial Narrow" w:hAnsi="Arial Narrow"/>
          <w:sz w:val="24"/>
          <w:szCs w:val="24"/>
          <w:rtl w:val="0"/>
        </w:rPr>
        <w:t xml:space="preserve">istórica, de la facultad de Ciencias Ambientales de la Universidad Tecnológica de Pereira, en algunos municipios del departamento, han catalogado evidencias materiales que se encuentran en las casas de la Cultura o colecciones privadas. </w:t>
      </w:r>
    </w:p>
    <w:p w:rsidR="00000000" w:rsidDel="00000000" w:rsidP="00000000" w:rsidRDefault="00000000" w:rsidRPr="00000000" w14:paraId="000004A8">
      <w:pPr>
        <w:spacing w:line="240" w:lineRule="auto"/>
        <w:rPr>
          <w:rFonts w:ascii="Arial Narrow" w:cs="Arial Narrow" w:eastAsia="Arial Narrow" w:hAnsi="Arial Narrow"/>
          <w:b w:val="1"/>
          <w:sz w:val="20"/>
          <w:szCs w:val="20"/>
        </w:rPr>
      </w:pPr>
      <w:r w:rsidDel="00000000" w:rsidR="00000000" w:rsidRPr="00000000">
        <w:rPr>
          <w:rtl w:val="0"/>
        </w:rPr>
      </w:r>
    </w:p>
    <w:tbl>
      <w:tblPr>
        <w:tblStyle w:val="Table17"/>
        <w:tblW w:w="84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6"/>
        <w:gridCol w:w="2287"/>
        <w:gridCol w:w="2147"/>
        <w:gridCol w:w="2027"/>
        <w:tblGridChange w:id="0">
          <w:tblGrid>
            <w:gridCol w:w="2026"/>
            <w:gridCol w:w="2287"/>
            <w:gridCol w:w="2147"/>
            <w:gridCol w:w="2027"/>
          </w:tblGrid>
        </w:tblGridChange>
      </w:tblGrid>
      <w:tr>
        <w:tc>
          <w:tcPr>
            <w:shd w:fill="c5e0b3" w:val="clear"/>
            <w:vAlign w:val="center"/>
          </w:tcPr>
          <w:p w:rsidR="00000000" w:rsidDel="00000000" w:rsidP="00000000" w:rsidRDefault="00000000" w:rsidRPr="00000000" w14:paraId="000004A9">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Municipios</w:t>
            </w:r>
          </w:p>
        </w:tc>
        <w:tc>
          <w:tcPr>
            <w:shd w:fill="c5e0b3" w:val="clear"/>
            <w:vAlign w:val="center"/>
          </w:tcPr>
          <w:p w:rsidR="00000000" w:rsidDel="00000000" w:rsidP="00000000" w:rsidRDefault="00000000" w:rsidRPr="00000000" w14:paraId="000004AA">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Inventarios y Registro</w:t>
            </w:r>
          </w:p>
        </w:tc>
        <w:tc>
          <w:tcPr>
            <w:shd w:fill="c5e0b3" w:val="clear"/>
            <w:vAlign w:val="center"/>
          </w:tcPr>
          <w:p w:rsidR="00000000" w:rsidDel="00000000" w:rsidP="00000000" w:rsidRDefault="00000000" w:rsidRPr="00000000" w14:paraId="000004AB">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Estado de Conservación</w:t>
            </w:r>
          </w:p>
        </w:tc>
        <w:tc>
          <w:tcPr>
            <w:shd w:fill="c5e0b3" w:val="clear"/>
            <w:vAlign w:val="center"/>
          </w:tcPr>
          <w:p w:rsidR="00000000" w:rsidDel="00000000" w:rsidP="00000000" w:rsidRDefault="00000000" w:rsidRPr="00000000" w14:paraId="000004AC">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Difusión y uso</w:t>
            </w:r>
          </w:p>
        </w:tc>
      </w:tr>
      <w:tr>
        <w:tc>
          <w:tcPr>
            <w:vAlign w:val="center"/>
          </w:tcPr>
          <w:p w:rsidR="00000000" w:rsidDel="00000000" w:rsidP="00000000" w:rsidRDefault="00000000" w:rsidRPr="00000000" w14:paraId="000004AD">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Apía</w:t>
            </w:r>
          </w:p>
        </w:tc>
        <w:tc>
          <w:tcPr>
            <w:vAlign w:val="center"/>
          </w:tcPr>
          <w:p w:rsidR="00000000" w:rsidDel="00000000" w:rsidP="00000000" w:rsidRDefault="00000000" w:rsidRPr="00000000" w14:paraId="000004AE">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 proceso</w:t>
            </w:r>
          </w:p>
        </w:tc>
        <w:tc>
          <w:tcPr>
            <w:vAlign w:val="center"/>
          </w:tcPr>
          <w:p w:rsidR="00000000" w:rsidDel="00000000" w:rsidP="00000000" w:rsidRDefault="00000000" w:rsidRPr="00000000" w14:paraId="000004AF">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Bueno</w:t>
            </w:r>
          </w:p>
        </w:tc>
        <w:tc>
          <w:tcPr>
            <w:vAlign w:val="center"/>
          </w:tcPr>
          <w:p w:rsidR="00000000" w:rsidDel="00000000" w:rsidP="00000000" w:rsidRDefault="00000000" w:rsidRPr="00000000" w14:paraId="000004B0">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Regular</w:t>
            </w:r>
          </w:p>
        </w:tc>
      </w:tr>
      <w:tr>
        <w:tc>
          <w:tcPr>
            <w:vAlign w:val="center"/>
          </w:tcPr>
          <w:p w:rsidR="00000000" w:rsidDel="00000000" w:rsidP="00000000" w:rsidRDefault="00000000" w:rsidRPr="00000000" w14:paraId="000004B1">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Balboa</w:t>
            </w:r>
          </w:p>
        </w:tc>
        <w:tc>
          <w:tcPr>
            <w:vAlign w:val="center"/>
          </w:tcPr>
          <w:p w:rsidR="00000000" w:rsidDel="00000000" w:rsidP="00000000" w:rsidRDefault="00000000" w:rsidRPr="00000000" w14:paraId="000004B2">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 proceso</w:t>
            </w:r>
          </w:p>
        </w:tc>
        <w:tc>
          <w:tcPr>
            <w:vAlign w:val="center"/>
          </w:tcPr>
          <w:p w:rsidR="00000000" w:rsidDel="00000000" w:rsidP="00000000" w:rsidRDefault="00000000" w:rsidRPr="00000000" w14:paraId="000004B3">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Deficiente, alto riesgo</w:t>
            </w:r>
          </w:p>
        </w:tc>
        <w:tc>
          <w:tcPr>
            <w:vAlign w:val="center"/>
          </w:tcPr>
          <w:p w:rsidR="00000000" w:rsidDel="00000000" w:rsidP="00000000" w:rsidRDefault="00000000" w:rsidRPr="00000000" w14:paraId="000004B4">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Deficiente</w:t>
            </w:r>
          </w:p>
        </w:tc>
      </w:tr>
      <w:tr>
        <w:tc>
          <w:tcPr>
            <w:vAlign w:val="center"/>
          </w:tcPr>
          <w:p w:rsidR="00000000" w:rsidDel="00000000" w:rsidP="00000000" w:rsidRDefault="00000000" w:rsidRPr="00000000" w14:paraId="000004B5">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Belén de Umbría</w:t>
            </w:r>
          </w:p>
        </w:tc>
        <w:tc>
          <w:tcPr>
            <w:vAlign w:val="center"/>
          </w:tcPr>
          <w:p w:rsidR="00000000" w:rsidDel="00000000" w:rsidP="00000000" w:rsidRDefault="00000000" w:rsidRPr="00000000" w14:paraId="000004B6">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Registrado</w:t>
            </w:r>
          </w:p>
        </w:tc>
        <w:tc>
          <w:tcPr>
            <w:vAlign w:val="center"/>
          </w:tcPr>
          <w:p w:rsidR="00000000" w:rsidDel="00000000" w:rsidP="00000000" w:rsidRDefault="00000000" w:rsidRPr="00000000" w14:paraId="000004B7">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Muy bueno</w:t>
            </w:r>
          </w:p>
        </w:tc>
        <w:tc>
          <w:tcPr>
            <w:vAlign w:val="center"/>
          </w:tcPr>
          <w:p w:rsidR="00000000" w:rsidDel="00000000" w:rsidP="00000000" w:rsidRDefault="00000000" w:rsidRPr="00000000" w14:paraId="000004B8">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Bueno</w:t>
            </w:r>
          </w:p>
        </w:tc>
      </w:tr>
      <w:tr>
        <w:tc>
          <w:tcPr>
            <w:vAlign w:val="center"/>
          </w:tcPr>
          <w:p w:rsidR="00000000" w:rsidDel="00000000" w:rsidP="00000000" w:rsidRDefault="00000000" w:rsidRPr="00000000" w14:paraId="000004B9">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Celia</w:t>
            </w:r>
          </w:p>
        </w:tc>
        <w:tc>
          <w:tcPr>
            <w:vAlign w:val="center"/>
          </w:tcPr>
          <w:p w:rsidR="00000000" w:rsidDel="00000000" w:rsidP="00000000" w:rsidRDefault="00000000" w:rsidRPr="00000000" w14:paraId="000004BA">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 registrado</w:t>
            </w:r>
          </w:p>
        </w:tc>
        <w:tc>
          <w:tcPr>
            <w:vAlign w:val="center"/>
          </w:tcPr>
          <w:p w:rsidR="00000000" w:rsidDel="00000000" w:rsidP="00000000" w:rsidRDefault="00000000" w:rsidRPr="00000000" w14:paraId="000004BB">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Regular</w:t>
            </w:r>
          </w:p>
        </w:tc>
        <w:tc>
          <w:tcPr>
            <w:vAlign w:val="center"/>
          </w:tcPr>
          <w:p w:rsidR="00000000" w:rsidDel="00000000" w:rsidP="00000000" w:rsidRDefault="00000000" w:rsidRPr="00000000" w14:paraId="000004BC">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Deficiente</w:t>
            </w:r>
          </w:p>
        </w:tc>
      </w:tr>
      <w:tr>
        <w:tc>
          <w:tcPr>
            <w:vAlign w:val="center"/>
          </w:tcPr>
          <w:p w:rsidR="00000000" w:rsidDel="00000000" w:rsidP="00000000" w:rsidRDefault="00000000" w:rsidRPr="00000000" w14:paraId="000004BD">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Santuario</w:t>
            </w:r>
          </w:p>
        </w:tc>
        <w:tc>
          <w:tcPr>
            <w:vAlign w:val="center"/>
          </w:tcPr>
          <w:p w:rsidR="00000000" w:rsidDel="00000000" w:rsidP="00000000" w:rsidRDefault="00000000" w:rsidRPr="00000000" w14:paraId="000004BE">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 registrado</w:t>
            </w:r>
          </w:p>
        </w:tc>
        <w:tc>
          <w:tcPr>
            <w:vAlign w:val="center"/>
          </w:tcPr>
          <w:p w:rsidR="00000000" w:rsidDel="00000000" w:rsidP="00000000" w:rsidRDefault="00000000" w:rsidRPr="00000000" w14:paraId="000004BF">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Sin información</w:t>
            </w:r>
          </w:p>
        </w:tc>
        <w:tc>
          <w:tcPr>
            <w:vAlign w:val="center"/>
          </w:tcPr>
          <w:p w:rsidR="00000000" w:rsidDel="00000000" w:rsidP="00000000" w:rsidRDefault="00000000" w:rsidRPr="00000000" w14:paraId="000004C0">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Sin Información</w:t>
            </w:r>
          </w:p>
        </w:tc>
      </w:tr>
    </w:tbl>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bookmarkStart w:colFirst="0" w:colLast="0" w:name="_heading=h.3cqmetx" w:id="61"/>
      <w:bookmarkEnd w:id="61"/>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16. Patrimonio Cultural en Casas de la Cultura o Museos en Risaralda</w:t>
      </w:r>
      <w:r w:rsidDel="00000000" w:rsidR="00000000" w:rsidRPr="00000000">
        <w:rPr>
          <w:rtl w:val="0"/>
        </w:rPr>
      </w:r>
    </w:p>
    <w:p w:rsidR="00000000" w:rsidDel="00000000" w:rsidP="00000000" w:rsidRDefault="00000000" w:rsidRPr="00000000" w14:paraId="000004C2">
      <w:pPr>
        <w:rPr/>
      </w:pPr>
      <w:r w:rsidDel="00000000" w:rsidR="00000000" w:rsidRPr="00000000">
        <w:rPr>
          <w:rtl w:val="0"/>
        </w:rPr>
      </w:r>
    </w:p>
    <w:tbl>
      <w:tblPr>
        <w:tblStyle w:val="Table18"/>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1"/>
        <w:gridCol w:w="20"/>
        <w:gridCol w:w="4367"/>
        <w:tblGridChange w:id="0">
          <w:tblGrid>
            <w:gridCol w:w="4441"/>
            <w:gridCol w:w="20"/>
            <w:gridCol w:w="4367"/>
          </w:tblGrid>
        </w:tblGridChange>
      </w:tblGrid>
      <w:tr>
        <w:tc>
          <w:tcPr>
            <w:gridSpan w:val="2"/>
          </w:tcPr>
          <w:p w:rsidR="00000000" w:rsidDel="00000000" w:rsidP="00000000" w:rsidRDefault="00000000" w:rsidRPr="00000000" w14:paraId="000004C3">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C4">
            <w:pPr>
              <w:rPr>
                <w:rFonts w:ascii="Arial Narrow" w:cs="Arial Narrow" w:eastAsia="Arial Narrow" w:hAnsi="Arial Narrow"/>
              </w:rPr>
            </w:pPr>
            <w:r w:rsidDel="00000000" w:rsidR="00000000" w:rsidRPr="00000000">
              <w:rPr>
                <w:rFonts w:ascii="Arial Narrow" w:cs="Arial Narrow" w:eastAsia="Arial Narrow" w:hAnsi="Arial Narrow"/>
                <w:b w:val="1"/>
                <w:sz w:val="20"/>
                <w:szCs w:val="20"/>
              </w:rPr>
              <w:drawing>
                <wp:inline distB="0" distT="0" distL="0" distR="0">
                  <wp:extent cx="2361852" cy="3127024"/>
                  <wp:effectExtent b="0" l="0" r="0" t="0"/>
                  <wp:docPr descr="Descripción: Vitrina La Celia CC" id="752" name="image4.jpg"/>
                  <a:graphic>
                    <a:graphicData uri="http://schemas.openxmlformats.org/drawingml/2006/picture">
                      <pic:pic>
                        <pic:nvPicPr>
                          <pic:cNvPr descr="Descripción: Vitrina La Celia CC" id="0" name="image4.jpg"/>
                          <pic:cNvPicPr preferRelativeResize="0"/>
                        </pic:nvPicPr>
                        <pic:blipFill>
                          <a:blip r:embed="rId31"/>
                          <a:srcRect b="0" l="0" r="0" t="0"/>
                          <a:stretch>
                            <a:fillRect/>
                          </a:stretch>
                        </pic:blipFill>
                        <pic:spPr>
                          <a:xfrm>
                            <a:off x="0" y="0"/>
                            <a:ext cx="2361852" cy="3127024"/>
                          </a:xfrm>
                          <a:prstGeom prst="rect"/>
                          <a:ln/>
                        </pic:spPr>
                      </pic:pic>
                    </a:graphicData>
                  </a:graphic>
                </wp:inline>
              </w:drawing>
            </w:r>
            <w:r w:rsidDel="00000000" w:rsidR="00000000" w:rsidRPr="00000000">
              <w:rPr>
                <w:rtl w:val="0"/>
              </w:rPr>
            </w:r>
          </w:p>
          <w:p w:rsidR="00000000" w:rsidDel="00000000" w:rsidP="00000000" w:rsidRDefault="00000000" w:rsidRPr="00000000" w14:paraId="000004C5">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200" w:before="40" w:line="240" w:lineRule="auto"/>
              <w:ind w:left="0" w:right="0" w:firstLine="0"/>
              <w:jc w:val="both"/>
              <w:rPr>
                <w:rFonts w:ascii="Arial Narrow" w:cs="Arial Narrow" w:eastAsia="Arial Narrow" w:hAnsi="Arial Narrow"/>
                <w:b w:val="1"/>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4C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C9">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CA">
            <w:pPr>
              <w:rPr>
                <w:rFonts w:ascii="Arial Narrow" w:cs="Arial Narrow" w:eastAsia="Arial Narrow" w:hAnsi="Arial Narrow"/>
              </w:rPr>
            </w:pPr>
            <w:r w:rsidDel="00000000" w:rsidR="00000000" w:rsidRPr="00000000">
              <w:rPr>
                <w:rFonts w:ascii="Arial Narrow" w:cs="Arial Narrow" w:eastAsia="Arial Narrow" w:hAnsi="Arial Narrow"/>
                <w:sz w:val="20"/>
                <w:szCs w:val="20"/>
              </w:rPr>
              <w:drawing>
                <wp:inline distB="0" distT="0" distL="0" distR="0">
                  <wp:extent cx="2727746" cy="2328574"/>
                  <wp:effectExtent b="0" l="0" r="0" t="0"/>
                  <wp:docPr descr="Descripción: C:\Docs constanza\Constanza\Constanza cosmos\APOMCASocial\Risaralda\DIAGNOSTICO\fotos\Taller Santuario\DSC_0080.JPG" id="753" name="image1.jpg"/>
                  <a:graphic>
                    <a:graphicData uri="http://schemas.openxmlformats.org/drawingml/2006/picture">
                      <pic:pic>
                        <pic:nvPicPr>
                          <pic:cNvPr descr="Descripción: C:\Docs constanza\Constanza\Constanza cosmos\APOMCASocial\Risaralda\DIAGNOSTICO\fotos\Taller Santuario\DSC_0080.JPG" id="0" name="image1.jpg"/>
                          <pic:cNvPicPr preferRelativeResize="0"/>
                        </pic:nvPicPr>
                        <pic:blipFill>
                          <a:blip r:embed="rId32"/>
                          <a:srcRect b="0" l="22087" r="0" t="0"/>
                          <a:stretch>
                            <a:fillRect/>
                          </a:stretch>
                        </pic:blipFill>
                        <pic:spPr>
                          <a:xfrm>
                            <a:off x="0" y="0"/>
                            <a:ext cx="2727746" cy="232857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Patrimonio cultural arqueológico en la casa de la cultura del municipio de La Celia. Fuente (LÓPEZ, CANO: 2009)</w:t>
            </w:r>
          </w:p>
        </w:tc>
        <w:tc>
          <w:tcPr>
            <w:gridSpan w:val="2"/>
          </w:tcPr>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Patrimonio cultural del municipio Santuario.</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Fuente Consorcio Ordenamiento Cuenca Risaralda 2016.</w:t>
            </w:r>
          </w:p>
        </w:tc>
      </w:tr>
      <w:tr>
        <w:tc>
          <w:tcPr>
            <w:gridSpan w:val="3"/>
          </w:tcPr>
          <w:p w:rsidR="00000000" w:rsidDel="00000000" w:rsidP="00000000" w:rsidRDefault="00000000" w:rsidRPr="00000000" w14:paraId="000004CF">
            <w:pPr>
              <w:rPr>
                <w:rFonts w:ascii="Arial Narrow" w:cs="Arial Narrow" w:eastAsia="Arial Narrow" w:hAnsi="Arial Narr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995680</wp:posOffset>
                  </wp:positionH>
                  <wp:positionV relativeFrom="paragraph">
                    <wp:posOffset>107950</wp:posOffset>
                  </wp:positionV>
                  <wp:extent cx="3475990" cy="2421890"/>
                  <wp:effectExtent b="0" l="0" r="0" t="0"/>
                  <wp:wrapSquare wrapText="bothSides" distB="0" distT="0" distL="114300" distR="114300"/>
                  <wp:docPr descr="Descripción: Vitrina Apia" id="758" name="image12.jpg"/>
                  <a:graphic>
                    <a:graphicData uri="http://schemas.openxmlformats.org/drawingml/2006/picture">
                      <pic:pic>
                        <pic:nvPicPr>
                          <pic:cNvPr descr="Descripción: Vitrina Apia" id="0" name="image12.jpg"/>
                          <pic:cNvPicPr preferRelativeResize="0"/>
                        </pic:nvPicPr>
                        <pic:blipFill>
                          <a:blip r:embed="rId33"/>
                          <a:srcRect b="13594" l="0" r="0" t="0"/>
                          <a:stretch>
                            <a:fillRect/>
                          </a:stretch>
                        </pic:blipFill>
                        <pic:spPr>
                          <a:xfrm>
                            <a:off x="0" y="0"/>
                            <a:ext cx="3475990" cy="2421890"/>
                          </a:xfrm>
                          <a:prstGeom prst="rect"/>
                          <a:ln/>
                        </pic:spPr>
                      </pic:pic>
                    </a:graphicData>
                  </a:graphic>
                </wp:anchor>
              </w:drawing>
            </w:r>
          </w:p>
          <w:p w:rsidR="00000000" w:rsidDel="00000000" w:rsidP="00000000" w:rsidRDefault="00000000" w:rsidRPr="00000000" w14:paraId="000004D0">
            <w:pPr>
              <w:rPr>
                <w:rFonts w:ascii="Arial Narrow" w:cs="Arial Narrow" w:eastAsia="Arial Narrow" w:hAnsi="Arial Narrow"/>
              </w:rPr>
            </w:pPr>
            <w:r w:rsidDel="00000000" w:rsidR="00000000" w:rsidRPr="00000000">
              <w:rPr>
                <w:rtl w:val="0"/>
              </w:rPr>
            </w:r>
          </w:p>
        </w:tc>
      </w:tr>
      <w:tr>
        <w:tc>
          <w:tcPr>
            <w:gridSpan w:val="3"/>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d0d0d"/>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d0d0d"/>
                <w:sz w:val="20"/>
                <w:szCs w:val="20"/>
                <w:u w:val="none"/>
                <w:shd w:fill="auto" w:val="clear"/>
                <w:vertAlign w:val="baseline"/>
                <w:rtl w:val="0"/>
              </w:rPr>
              <w:t xml:space="preserve">Patrimonio cultural del municipio de Apía. Fuente: Consorcio Ordenamiento Cuenca Risaralda 2016.</w:t>
            </w:r>
          </w:p>
        </w:tc>
      </w:tr>
      <w:tr>
        <w:tc>
          <w:tcPr>
            <w:gridSpan w:val="2"/>
          </w:tcPr>
          <w:p w:rsidR="00000000" w:rsidDel="00000000" w:rsidP="00000000" w:rsidRDefault="00000000" w:rsidRPr="00000000" w14:paraId="000004D6">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D7">
            <w:pPr>
              <w:rPr>
                <w:rFonts w:ascii="Arial Narrow" w:cs="Arial Narrow" w:eastAsia="Arial Narrow" w:hAnsi="Arial Narrow"/>
              </w:rPr>
            </w:pPr>
            <w:r w:rsidDel="00000000" w:rsidR="00000000" w:rsidRPr="00000000">
              <w:rPr>
                <w:rFonts w:ascii="Arial Narrow" w:cs="Arial Narrow" w:eastAsia="Arial Narrow" w:hAnsi="Arial Narrow"/>
                <w:sz w:val="20"/>
                <w:szCs w:val="20"/>
              </w:rPr>
              <w:drawing>
                <wp:inline distB="0" distT="0" distL="0" distR="0">
                  <wp:extent cx="2750650" cy="2021577"/>
                  <wp:effectExtent b="9525" l="9525" r="9525" t="9525"/>
                  <wp:docPr descr="Descripción: C:\Docs constanza\Constanza\Constanza cosmos\APOMCASocial\Risaralda\DIAGNOSTICO\fotos\IMG_20160413_163304149.jpg" id="754" name="image13.jpg"/>
                  <a:graphic>
                    <a:graphicData uri="http://schemas.openxmlformats.org/drawingml/2006/picture">
                      <pic:pic>
                        <pic:nvPicPr>
                          <pic:cNvPr descr="Descripción: C:\Docs constanza\Constanza\Constanza cosmos\APOMCASocial\Risaralda\DIAGNOSTICO\fotos\IMG_20160413_163304149.jpg" id="0" name="image13.jpg"/>
                          <pic:cNvPicPr preferRelativeResize="0"/>
                        </pic:nvPicPr>
                        <pic:blipFill>
                          <a:blip r:embed="rId34"/>
                          <a:srcRect b="0" l="0" r="23498" t="0"/>
                          <a:stretch>
                            <a:fillRect/>
                          </a:stretch>
                        </pic:blipFill>
                        <pic:spPr>
                          <a:xfrm>
                            <a:off x="0" y="0"/>
                            <a:ext cx="2750650" cy="2021577"/>
                          </a:xfrm>
                          <a:prstGeom prst="rect"/>
                          <a:ln w="9525">
                            <a:solidFill>
                              <a:srgbClr val="5B9BD5"/>
                            </a:solidFill>
                            <a:prstDash val="solid"/>
                          </a:ln>
                        </pic:spPr>
                      </pic:pic>
                    </a:graphicData>
                  </a:graphic>
                </wp:inline>
              </w:drawing>
            </w:r>
            <w:r w:rsidDel="00000000" w:rsidR="00000000" w:rsidRPr="00000000">
              <w:rPr>
                <w:rtl w:val="0"/>
              </w:rPr>
            </w:r>
          </w:p>
          <w:p w:rsidR="00000000" w:rsidDel="00000000" w:rsidP="00000000" w:rsidRDefault="00000000" w:rsidRPr="00000000" w14:paraId="000004D8">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4D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DB">
            <w:pPr>
              <w:rPr>
                <w:rFonts w:ascii="Arial Narrow" w:cs="Arial Narrow" w:eastAsia="Arial Narrow" w:hAnsi="Arial Narrow"/>
              </w:rPr>
            </w:pPr>
            <w:r w:rsidDel="00000000" w:rsidR="00000000" w:rsidRPr="00000000">
              <w:rPr>
                <w:rFonts w:ascii="Arial Narrow" w:cs="Arial Narrow" w:eastAsia="Arial Narrow" w:hAnsi="Arial Narrow"/>
                <w:b w:val="1"/>
                <w:sz w:val="20"/>
                <w:szCs w:val="20"/>
              </w:rPr>
              <w:drawing>
                <wp:inline distB="0" distT="0" distL="0" distR="0">
                  <wp:extent cx="2603111" cy="1959918"/>
                  <wp:effectExtent b="0" l="0" r="0" t="0"/>
                  <wp:docPr descr="Descripción: DSC02043" id="755" name="image19.jpg"/>
                  <a:graphic>
                    <a:graphicData uri="http://schemas.openxmlformats.org/drawingml/2006/picture">
                      <pic:pic>
                        <pic:nvPicPr>
                          <pic:cNvPr descr="Descripción: DSC02043" id="0" name="image19.jpg"/>
                          <pic:cNvPicPr preferRelativeResize="0"/>
                        </pic:nvPicPr>
                        <pic:blipFill>
                          <a:blip r:embed="rId35"/>
                          <a:srcRect b="0" l="0" r="0" t="0"/>
                          <a:stretch>
                            <a:fillRect/>
                          </a:stretch>
                        </pic:blipFill>
                        <pic:spPr>
                          <a:xfrm>
                            <a:off x="0" y="0"/>
                            <a:ext cx="2603111" cy="1959918"/>
                          </a:xfrm>
                          <a:prstGeom prst="rect"/>
                          <a:ln/>
                        </pic:spPr>
                      </pic:pic>
                    </a:graphicData>
                  </a:graphic>
                </wp:inline>
              </w:drawing>
            </w:r>
            <w:r w:rsidDel="00000000" w:rsidR="00000000" w:rsidRPr="00000000">
              <w:rPr>
                <w:rtl w:val="0"/>
              </w:rPr>
            </w:r>
          </w:p>
        </w:tc>
      </w:tr>
      <w:tr>
        <w:tc>
          <w:tcPr>
            <w:gridSpan w:val="2"/>
          </w:tcPr>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Patrimonio cultural del municipio de Guática</w:t>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Fuente Consorcio Ordenamiento Cuenca Risaralda 2016.</w:t>
            </w:r>
          </w:p>
        </w:tc>
        <w:tc>
          <w:tcPr/>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Patrimonio cultural del municipio de Belén en el museo Bolívar. Fuente Consorcio Ordenamiento Cuenca Risaralda 2016.</w:t>
            </w:r>
          </w:p>
        </w:tc>
      </w:tr>
    </w:tbl>
    <w:p w:rsidR="00000000" w:rsidDel="00000000" w:rsidP="00000000" w:rsidRDefault="00000000" w:rsidRPr="00000000" w14:paraId="000004E0">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E1">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 evidencia arqueológica, demuestra un potencial aún por investigar y dar mayor relevancia desde el tema del Paisaje Cultural Cafetero. La guaquería sigue siendo una práctica cultural constante en especial en los municipios con mayores hallazgos como Belén de Umbría, Santuario, Balboa y Apia. El municipio de Balboa posee gran riqueza cultural material e inmaterial, dentro del patrimonio cultural encontramos con gran importancia en investigación y conservación el patrimonio arqueológico</w:t>
      </w:r>
      <w:r w:rsidDel="00000000" w:rsidR="00000000" w:rsidRPr="00000000">
        <w:rPr>
          <w:rFonts w:ascii="Arial Narrow" w:cs="Arial Narrow" w:eastAsia="Arial Narrow" w:hAnsi="Arial Narrow"/>
          <w:b w:val="1"/>
          <w:sz w:val="24"/>
          <w:szCs w:val="24"/>
          <w:rtl w:val="0"/>
        </w:rPr>
        <w:t xml:space="preserve">.</w:t>
      </w:r>
    </w:p>
    <w:p w:rsidR="00000000" w:rsidDel="00000000" w:rsidP="00000000" w:rsidRDefault="00000000" w:rsidRPr="00000000" w14:paraId="000004E2">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E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los territorios pertenecientes a Balboa, no se sabe con certeza quienes fueron sus primeros habitantes, pero se han hallado mayores influencias culturales de las comunidades sur-occidentales colombianas. La piezas arqueológicas que están actualmente en la colección llamada “Balboa siguiendo las huellas del pasado” y las que están en proceso de registro no tienen contexto, es decir, no se sabe con certeza el lugar donde se hallaron, sin embargo, se han reseñado 16 sitios arqueológicos a partir de diálogos de saberes, donde se pudieron encontrar las piezas entre las veredas La Quiebra, Tres Esquinas, La Floresta, La Aurora y Cristales, Carminales, El Manzano, LLanogrande, hallazgos asociados a piezas arqueológicas (cerámicas, líticos), cuyos usos estaban asociados a actividades domésticas, agricultura y caza de animales, estructuras funerarias y posibles sitios de habitación. </w:t>
      </w:r>
    </w:p>
    <w:p w:rsidR="00000000" w:rsidDel="00000000" w:rsidP="00000000" w:rsidRDefault="00000000" w:rsidRPr="00000000" w14:paraId="000004E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4E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Uno de los sitios con presencia de vestigios arqueológicos es el Área de Recreación Alto del Rey donde se ha dificultado la conservación de estas piezas arqueológicas, ya que han sido extraídas por particulares.</w:t>
      </w:r>
    </w:p>
    <w:p w:rsidR="00000000" w:rsidDel="00000000" w:rsidP="00000000" w:rsidRDefault="00000000" w:rsidRPr="00000000" w14:paraId="000004E6">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Ecoturismo:</w:t>
      </w:r>
    </w:p>
    <w:p w:rsidR="00000000" w:rsidDel="00000000" w:rsidP="00000000" w:rsidRDefault="00000000" w:rsidRPr="00000000" w14:paraId="000004E8">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E9">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ecoturismo se desarrolla de manera dirigida en el área protegida, la cual dispone de cinco (5) senderos y algunos recursos turísticos.</w:t>
      </w:r>
    </w:p>
    <w:p w:rsidR="00000000" w:rsidDel="00000000" w:rsidP="00000000" w:rsidRDefault="00000000" w:rsidRPr="00000000" w14:paraId="000004EA">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bl>
      <w:tblPr>
        <w:tblStyle w:val="Table19"/>
        <w:tblW w:w="94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0"/>
        <w:gridCol w:w="1635"/>
        <w:gridCol w:w="985"/>
        <w:gridCol w:w="987"/>
        <w:gridCol w:w="1267"/>
        <w:gridCol w:w="1057"/>
        <w:gridCol w:w="1310"/>
        <w:gridCol w:w="1127"/>
        <w:tblGridChange w:id="0">
          <w:tblGrid>
            <w:gridCol w:w="1130"/>
            <w:gridCol w:w="1635"/>
            <w:gridCol w:w="985"/>
            <w:gridCol w:w="987"/>
            <w:gridCol w:w="1267"/>
            <w:gridCol w:w="1057"/>
            <w:gridCol w:w="1310"/>
            <w:gridCol w:w="1127"/>
          </w:tblGrid>
        </w:tblGridChange>
      </w:tblGrid>
      <w:tr>
        <w:trPr>
          <w:trHeight w:val="476" w:hRule="atLeast"/>
        </w:trPr>
        <w:tc>
          <w:tcPr>
            <w:shd w:fill="c5e0b3" w:val="clear"/>
          </w:tcPr>
          <w:p w:rsidR="00000000" w:rsidDel="00000000" w:rsidP="00000000" w:rsidRDefault="00000000" w:rsidRPr="00000000" w14:paraId="000004EC">
            <w:pPr>
              <w:spacing w:line="240" w:lineRule="auto"/>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ED">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Nombre </w:t>
            </w:r>
          </w:p>
        </w:tc>
        <w:tc>
          <w:tcPr>
            <w:shd w:fill="c5e0b3" w:val="clear"/>
          </w:tcPr>
          <w:p w:rsidR="00000000" w:rsidDel="00000000" w:rsidP="00000000" w:rsidRDefault="00000000" w:rsidRPr="00000000" w14:paraId="000004EE">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Especialidad del sendero </w:t>
            </w:r>
          </w:p>
        </w:tc>
        <w:tc>
          <w:tcPr>
            <w:shd w:fill="c5e0b3" w:val="clear"/>
          </w:tcPr>
          <w:p w:rsidR="00000000" w:rsidDel="00000000" w:rsidP="00000000" w:rsidRDefault="00000000" w:rsidRPr="00000000" w14:paraId="000004EF">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Longitud (Km)</w:t>
            </w:r>
          </w:p>
        </w:tc>
        <w:tc>
          <w:tcPr>
            <w:shd w:fill="c5e0b3" w:val="clear"/>
          </w:tcPr>
          <w:p w:rsidR="00000000" w:rsidDel="00000000" w:rsidP="00000000" w:rsidRDefault="00000000" w:rsidRPr="00000000" w14:paraId="000004F0">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Grado de dificultad</w:t>
            </w:r>
          </w:p>
        </w:tc>
        <w:tc>
          <w:tcPr>
            <w:shd w:fill="c5e0b3" w:val="clear"/>
          </w:tcPr>
          <w:p w:rsidR="00000000" w:rsidDel="00000000" w:rsidP="00000000" w:rsidRDefault="00000000" w:rsidRPr="00000000" w14:paraId="000004F1">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Vallas y </w:t>
            </w:r>
          </w:p>
          <w:p w:rsidR="00000000" w:rsidDel="00000000" w:rsidP="00000000" w:rsidRDefault="00000000" w:rsidRPr="00000000" w14:paraId="000004F2">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señalización</w:t>
            </w:r>
          </w:p>
        </w:tc>
        <w:tc>
          <w:tcPr>
            <w:shd w:fill="c5e0b3" w:val="clear"/>
          </w:tcPr>
          <w:p w:rsidR="00000000" w:rsidDel="00000000" w:rsidP="00000000" w:rsidRDefault="00000000" w:rsidRPr="00000000" w14:paraId="000004F3">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Estado del Sendero</w:t>
            </w:r>
          </w:p>
        </w:tc>
        <w:tc>
          <w:tcPr>
            <w:shd w:fill="c5e0b3" w:val="clear"/>
          </w:tcPr>
          <w:p w:rsidR="00000000" w:rsidDel="00000000" w:rsidP="00000000" w:rsidRDefault="00000000" w:rsidRPr="00000000" w14:paraId="000004F4">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Guión de Interpretación</w:t>
            </w:r>
          </w:p>
        </w:tc>
        <w:tc>
          <w:tcPr>
            <w:shd w:fill="c5e0b3" w:val="clear"/>
          </w:tcPr>
          <w:p w:rsidR="00000000" w:rsidDel="00000000" w:rsidP="00000000" w:rsidRDefault="00000000" w:rsidRPr="00000000" w14:paraId="000004F5">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Análisis capacidad de carga</w:t>
            </w:r>
          </w:p>
        </w:tc>
      </w:tr>
      <w:tr>
        <w:tc>
          <w:tcPr>
            <w:shd w:fill="auto" w:val="clear"/>
          </w:tcPr>
          <w:p w:rsidR="00000000" w:rsidDel="00000000" w:rsidP="00000000" w:rsidRDefault="00000000" w:rsidRPr="00000000" w14:paraId="000004F6">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Sendero Las Heliconias</w:t>
            </w:r>
          </w:p>
        </w:tc>
        <w:tc>
          <w:tcPr/>
          <w:p w:rsidR="00000000" w:rsidDel="00000000" w:rsidP="00000000" w:rsidRDefault="00000000" w:rsidRPr="00000000" w14:paraId="000004F7">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Observación aves</w:t>
            </w:r>
          </w:p>
        </w:tc>
        <w:tc>
          <w:tcPr>
            <w:shd w:fill="auto" w:val="clear"/>
          </w:tcPr>
          <w:p w:rsidR="00000000" w:rsidDel="00000000" w:rsidP="00000000" w:rsidRDefault="00000000" w:rsidRPr="00000000" w14:paraId="000004F8">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1010 metros</w:t>
            </w:r>
          </w:p>
        </w:tc>
        <w:tc>
          <w:tcPr>
            <w:shd w:fill="auto" w:val="clear"/>
          </w:tcPr>
          <w:p w:rsidR="00000000" w:rsidDel="00000000" w:rsidP="00000000" w:rsidRDefault="00000000" w:rsidRPr="00000000" w14:paraId="000004F9">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Medio</w:t>
            </w:r>
          </w:p>
        </w:tc>
        <w:tc>
          <w:tcPr>
            <w:shd w:fill="auto" w:val="clear"/>
          </w:tcPr>
          <w:p w:rsidR="00000000" w:rsidDel="00000000" w:rsidP="00000000" w:rsidRDefault="00000000" w:rsidRPr="00000000" w14:paraId="000004FA">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Regular</w:t>
            </w:r>
          </w:p>
        </w:tc>
        <w:tc>
          <w:tcPr>
            <w:shd w:fill="auto" w:val="clear"/>
          </w:tcPr>
          <w:p w:rsidR="00000000" w:rsidDel="00000000" w:rsidP="00000000" w:rsidRDefault="00000000" w:rsidRPr="00000000" w14:paraId="000004FB">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Regular</w:t>
            </w:r>
          </w:p>
        </w:tc>
        <w:tc>
          <w:tcPr/>
          <w:p w:rsidR="00000000" w:rsidDel="00000000" w:rsidP="00000000" w:rsidRDefault="00000000" w:rsidRPr="00000000" w14:paraId="000004FC">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c>
          <w:tcPr/>
          <w:p w:rsidR="00000000" w:rsidDel="00000000" w:rsidP="00000000" w:rsidRDefault="00000000" w:rsidRPr="00000000" w14:paraId="000004FD">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r>
      <w:tr>
        <w:tc>
          <w:tcPr>
            <w:shd w:fill="auto" w:val="clear"/>
          </w:tcPr>
          <w:p w:rsidR="00000000" w:rsidDel="00000000" w:rsidP="00000000" w:rsidRDefault="00000000" w:rsidRPr="00000000" w14:paraId="000004FE">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Sendero Bejucos y Lianas</w:t>
            </w:r>
          </w:p>
        </w:tc>
        <w:tc>
          <w:tcPr/>
          <w:p w:rsidR="00000000" w:rsidDel="00000000" w:rsidP="00000000" w:rsidRDefault="00000000" w:rsidRPr="00000000" w14:paraId="000004FF">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Paisaje – Histórico</w:t>
            </w:r>
          </w:p>
        </w:tc>
        <w:tc>
          <w:tcPr>
            <w:shd w:fill="auto" w:val="clear"/>
          </w:tcPr>
          <w:p w:rsidR="00000000" w:rsidDel="00000000" w:rsidP="00000000" w:rsidRDefault="00000000" w:rsidRPr="00000000" w14:paraId="00000500">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310 metros</w:t>
            </w:r>
          </w:p>
        </w:tc>
        <w:tc>
          <w:tcPr>
            <w:shd w:fill="auto" w:val="clear"/>
          </w:tcPr>
          <w:p w:rsidR="00000000" w:rsidDel="00000000" w:rsidP="00000000" w:rsidRDefault="00000000" w:rsidRPr="00000000" w14:paraId="00000501">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w:t>
            </w:r>
          </w:p>
        </w:tc>
        <w:tc>
          <w:tcPr>
            <w:shd w:fill="auto" w:val="clear"/>
          </w:tcPr>
          <w:p w:rsidR="00000000" w:rsidDel="00000000" w:rsidP="00000000" w:rsidRDefault="00000000" w:rsidRPr="00000000" w14:paraId="00000502">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Regular</w:t>
            </w:r>
          </w:p>
        </w:tc>
        <w:tc>
          <w:tcPr>
            <w:shd w:fill="auto" w:val="clear"/>
          </w:tcPr>
          <w:p w:rsidR="00000000" w:rsidDel="00000000" w:rsidP="00000000" w:rsidRDefault="00000000" w:rsidRPr="00000000" w14:paraId="00000503">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Regular</w:t>
            </w:r>
          </w:p>
        </w:tc>
        <w:tc>
          <w:tcPr/>
          <w:p w:rsidR="00000000" w:rsidDel="00000000" w:rsidP="00000000" w:rsidRDefault="00000000" w:rsidRPr="00000000" w14:paraId="00000504">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c>
          <w:tcPr/>
          <w:p w:rsidR="00000000" w:rsidDel="00000000" w:rsidP="00000000" w:rsidRDefault="00000000" w:rsidRPr="00000000" w14:paraId="00000505">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r>
      <w:tr>
        <w:tc>
          <w:tcPr>
            <w:shd w:fill="auto" w:val="clear"/>
          </w:tcPr>
          <w:p w:rsidR="00000000" w:rsidDel="00000000" w:rsidP="00000000" w:rsidRDefault="00000000" w:rsidRPr="00000000" w14:paraId="00000506">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Sendero El Mirador</w:t>
            </w:r>
          </w:p>
        </w:tc>
        <w:tc>
          <w:tcPr/>
          <w:p w:rsidR="00000000" w:rsidDel="00000000" w:rsidP="00000000" w:rsidRDefault="00000000" w:rsidRPr="00000000" w14:paraId="00000507">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Histórico y paisaje</w:t>
            </w:r>
          </w:p>
        </w:tc>
        <w:tc>
          <w:tcPr>
            <w:shd w:fill="auto" w:val="clear"/>
          </w:tcPr>
          <w:p w:rsidR="00000000" w:rsidDel="00000000" w:rsidP="00000000" w:rsidRDefault="00000000" w:rsidRPr="00000000" w14:paraId="00000508">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350 metros</w:t>
            </w:r>
          </w:p>
        </w:tc>
        <w:tc>
          <w:tcPr>
            <w:shd w:fill="auto" w:val="clear"/>
          </w:tcPr>
          <w:p w:rsidR="00000000" w:rsidDel="00000000" w:rsidP="00000000" w:rsidRDefault="00000000" w:rsidRPr="00000000" w14:paraId="00000509">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w:t>
            </w:r>
          </w:p>
        </w:tc>
        <w:tc>
          <w:tcPr>
            <w:shd w:fill="auto" w:val="clear"/>
          </w:tcPr>
          <w:p w:rsidR="00000000" w:rsidDel="00000000" w:rsidP="00000000" w:rsidRDefault="00000000" w:rsidRPr="00000000" w14:paraId="0000050A">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Buena</w:t>
            </w:r>
          </w:p>
        </w:tc>
        <w:tc>
          <w:tcPr>
            <w:shd w:fill="auto" w:val="clear"/>
          </w:tcPr>
          <w:p w:rsidR="00000000" w:rsidDel="00000000" w:rsidP="00000000" w:rsidRDefault="00000000" w:rsidRPr="00000000" w14:paraId="0000050B">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Bueno</w:t>
            </w:r>
          </w:p>
        </w:tc>
        <w:tc>
          <w:tcPr/>
          <w:p w:rsidR="00000000" w:rsidDel="00000000" w:rsidP="00000000" w:rsidRDefault="00000000" w:rsidRPr="00000000" w14:paraId="0000050C">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c>
          <w:tcPr/>
          <w:p w:rsidR="00000000" w:rsidDel="00000000" w:rsidP="00000000" w:rsidRDefault="00000000" w:rsidRPr="00000000" w14:paraId="0000050D">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r>
      <w:tr>
        <w:tc>
          <w:tcPr>
            <w:shd w:fill="auto" w:val="clear"/>
          </w:tcPr>
          <w:p w:rsidR="00000000" w:rsidDel="00000000" w:rsidP="00000000" w:rsidRDefault="00000000" w:rsidRPr="00000000" w14:paraId="0000050E">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Sendero Las Guacas</w:t>
            </w:r>
          </w:p>
        </w:tc>
        <w:tc>
          <w:tcPr/>
          <w:p w:rsidR="00000000" w:rsidDel="00000000" w:rsidP="00000000" w:rsidRDefault="00000000" w:rsidRPr="00000000" w14:paraId="0000050F">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Histórico – Observación de aves</w:t>
            </w:r>
          </w:p>
        </w:tc>
        <w:tc>
          <w:tcPr>
            <w:shd w:fill="auto" w:val="clear"/>
          </w:tcPr>
          <w:p w:rsidR="00000000" w:rsidDel="00000000" w:rsidP="00000000" w:rsidRDefault="00000000" w:rsidRPr="00000000" w14:paraId="00000510">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220 metros</w:t>
            </w:r>
          </w:p>
        </w:tc>
        <w:tc>
          <w:tcPr>
            <w:shd w:fill="auto" w:val="clear"/>
          </w:tcPr>
          <w:p w:rsidR="00000000" w:rsidDel="00000000" w:rsidP="00000000" w:rsidRDefault="00000000" w:rsidRPr="00000000" w14:paraId="00000511">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Medio</w:t>
            </w:r>
          </w:p>
        </w:tc>
        <w:tc>
          <w:tcPr>
            <w:shd w:fill="auto" w:val="clear"/>
          </w:tcPr>
          <w:p w:rsidR="00000000" w:rsidDel="00000000" w:rsidP="00000000" w:rsidRDefault="00000000" w:rsidRPr="00000000" w14:paraId="00000512">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Buena</w:t>
            </w:r>
          </w:p>
        </w:tc>
        <w:tc>
          <w:tcPr>
            <w:shd w:fill="auto" w:val="clear"/>
          </w:tcPr>
          <w:p w:rsidR="00000000" w:rsidDel="00000000" w:rsidP="00000000" w:rsidRDefault="00000000" w:rsidRPr="00000000" w14:paraId="00000513">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Bueno</w:t>
            </w:r>
          </w:p>
        </w:tc>
        <w:tc>
          <w:tcPr/>
          <w:p w:rsidR="00000000" w:rsidDel="00000000" w:rsidP="00000000" w:rsidRDefault="00000000" w:rsidRPr="00000000" w14:paraId="00000514">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c>
          <w:tcPr/>
          <w:p w:rsidR="00000000" w:rsidDel="00000000" w:rsidP="00000000" w:rsidRDefault="00000000" w:rsidRPr="00000000" w14:paraId="00000515">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r>
      <w:tr>
        <w:trPr>
          <w:trHeight w:val="343" w:hRule="atLeast"/>
        </w:trPr>
        <w:tc>
          <w:tcPr>
            <w:shd w:fill="auto" w:val="clear"/>
          </w:tcPr>
          <w:p w:rsidR="00000000" w:rsidDel="00000000" w:rsidP="00000000" w:rsidRDefault="00000000" w:rsidRPr="00000000" w14:paraId="00000516">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Sendero La Torre</w:t>
            </w:r>
          </w:p>
        </w:tc>
        <w:tc>
          <w:tcPr/>
          <w:p w:rsidR="00000000" w:rsidDel="00000000" w:rsidP="00000000" w:rsidRDefault="00000000" w:rsidRPr="00000000" w14:paraId="00000517">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Paisaje</w:t>
            </w:r>
          </w:p>
        </w:tc>
        <w:tc>
          <w:tcPr>
            <w:shd w:fill="auto" w:val="clear"/>
          </w:tcPr>
          <w:p w:rsidR="00000000" w:rsidDel="00000000" w:rsidP="00000000" w:rsidRDefault="00000000" w:rsidRPr="00000000" w14:paraId="00000518">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830 metros</w:t>
            </w:r>
          </w:p>
        </w:tc>
        <w:tc>
          <w:tcPr>
            <w:shd w:fill="auto" w:val="clear"/>
          </w:tcPr>
          <w:p w:rsidR="00000000" w:rsidDel="00000000" w:rsidP="00000000" w:rsidRDefault="00000000" w:rsidRPr="00000000" w14:paraId="00000519">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w:t>
            </w:r>
          </w:p>
        </w:tc>
        <w:tc>
          <w:tcPr>
            <w:shd w:fill="auto" w:val="clear"/>
          </w:tcPr>
          <w:p w:rsidR="00000000" w:rsidDel="00000000" w:rsidP="00000000" w:rsidRDefault="00000000" w:rsidRPr="00000000" w14:paraId="0000051A">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w:t>
            </w:r>
          </w:p>
        </w:tc>
        <w:tc>
          <w:tcPr>
            <w:shd w:fill="auto" w:val="clear"/>
          </w:tcPr>
          <w:p w:rsidR="00000000" w:rsidDel="00000000" w:rsidP="00000000" w:rsidRDefault="00000000" w:rsidRPr="00000000" w14:paraId="0000051B">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Regular</w:t>
            </w:r>
          </w:p>
        </w:tc>
        <w:tc>
          <w:tcPr/>
          <w:p w:rsidR="00000000" w:rsidDel="00000000" w:rsidP="00000000" w:rsidRDefault="00000000" w:rsidRPr="00000000" w14:paraId="0000051C">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c>
          <w:tcPr/>
          <w:p w:rsidR="00000000" w:rsidDel="00000000" w:rsidP="00000000" w:rsidRDefault="00000000" w:rsidRPr="00000000" w14:paraId="0000051D">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w:t>
            </w:r>
          </w:p>
        </w:tc>
      </w:tr>
    </w:tbl>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0"/>
          <w:smallCaps w:val="0"/>
          <w:strike w:val="0"/>
          <w:color w:val="44546a"/>
          <w:sz w:val="24"/>
          <w:szCs w:val="24"/>
          <w:u w:val="none"/>
          <w:shd w:fill="auto" w:val="clear"/>
          <w:vertAlign w:val="baseline"/>
        </w:rPr>
      </w:pPr>
      <w:bookmarkStart w:colFirst="0" w:colLast="0" w:name="_heading=h.1rvwp1q" w:id="62"/>
      <w:bookmarkEnd w:id="62"/>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17. Infraestructura relacionada con los senderos en el AR Alto del Rey</w:t>
      </w:r>
      <w:r w:rsidDel="00000000" w:rsidR="00000000" w:rsidRPr="00000000">
        <w:rPr>
          <w:rtl w:val="0"/>
        </w:rPr>
      </w:r>
    </w:p>
    <w:p w:rsidR="00000000" w:rsidDel="00000000" w:rsidP="00000000" w:rsidRDefault="00000000" w:rsidRPr="00000000" w14:paraId="0000051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Área de Recreación Alto del Rey no posee centro de visitantes como infraestructura principal, pero si recibe de manera esporádica visitantes en sus senderos.</w:t>
      </w:r>
    </w:p>
    <w:p w:rsidR="00000000" w:rsidDel="00000000" w:rsidP="00000000" w:rsidRDefault="00000000" w:rsidRPr="00000000" w14:paraId="00000520">
      <w:pPr>
        <w:jc w:val="both"/>
        <w:rPr>
          <w:rFonts w:ascii="Arial Narrow" w:cs="Arial Narrow" w:eastAsia="Arial Narrow" w:hAnsi="Arial Narrow"/>
        </w:rPr>
      </w:pPr>
      <w:r w:rsidDel="00000000" w:rsidR="00000000" w:rsidRPr="00000000">
        <w:rPr>
          <w:rtl w:val="0"/>
        </w:rPr>
      </w:r>
    </w:p>
    <w:tbl>
      <w:tblPr>
        <w:tblStyle w:val="Table20"/>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239"/>
        <w:tblGridChange w:id="0">
          <w:tblGrid>
            <w:gridCol w:w="2405"/>
            <w:gridCol w:w="6239"/>
          </w:tblGrid>
        </w:tblGridChange>
      </w:tblGrid>
      <w:tr>
        <w:tc>
          <w:tcPr>
            <w:shd w:fill="c5e0b3" w:val="clear"/>
          </w:tcPr>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Nombre</w:t>
            </w:r>
          </w:p>
        </w:tc>
        <w:tc>
          <w:tcPr>
            <w:shd w:fill="c5e0b3" w:val="clear"/>
          </w:tcPr>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Descripción</w:t>
            </w:r>
          </w:p>
        </w:tc>
      </w:tr>
      <w:tr>
        <w:tc>
          <w:tcPr>
            <w:shd w:fill="auto" w:val="clear"/>
          </w:tcPr>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Mirador sobre el valle del río Risaralda</w:t>
            </w:r>
          </w:p>
        </w:tc>
        <w:tc>
          <w:tcPr>
            <w:shd w:fill="auto" w:val="clear"/>
          </w:tcPr>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Este sitio se encuentra ubicado a 1873 msnm sobre la parte más alta del área protegida, proporciona una vista excepcional del paisaje del valle del río Risaralda.  </w:t>
            </w:r>
          </w:p>
        </w:tc>
      </w:tr>
      <w:tr>
        <w:trPr>
          <w:trHeight w:val="1157" w:hRule="atLeast"/>
        </w:trPr>
        <w:tc>
          <w:tcPr>
            <w:shd w:fill="auto" w:val="clear"/>
          </w:tcPr>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0"/>
                <w:i w:val="0"/>
                <w:smallCaps w:val="0"/>
                <w:strike w:val="0"/>
                <w:color w:val="ff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Riqueza arqueológica. La Guaca Principal Alto del Rey</w:t>
            </w:r>
            <w:r w:rsidDel="00000000" w:rsidR="00000000" w:rsidRPr="00000000">
              <w:rPr>
                <w:rtl w:val="0"/>
              </w:rPr>
            </w:r>
          </w:p>
        </w:tc>
        <w:tc>
          <w:tcPr>
            <w:shd w:fill="auto" w:val="clear"/>
          </w:tcPr>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0"/>
                <w:i w:val="0"/>
                <w:smallCaps w:val="0"/>
                <w:strike w:val="0"/>
                <w:color w:val="000000"/>
                <w:sz w:val="20"/>
                <w:szCs w:val="20"/>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Por medio del sendero Las Guacas se llega a este sitio donde en el cual se sacaban las guacas y hay manifestaciones arqueológicas. </w:t>
            </w:r>
            <w:r w:rsidDel="00000000" w:rsidR="00000000" w:rsidRPr="00000000">
              <w:rPr>
                <w:rtl w:val="0"/>
              </w:rPr>
            </w:r>
          </w:p>
          <w:p w:rsidR="00000000" w:rsidDel="00000000" w:rsidP="00000000" w:rsidRDefault="00000000" w:rsidRPr="00000000" w14:paraId="00000527">
            <w:pPr>
              <w:spacing w:line="240" w:lineRule="auto"/>
              <w:jc w:val="both"/>
              <w:rPr>
                <w:b w:val="1"/>
                <w:sz w:val="20"/>
                <w:szCs w:val="20"/>
                <w:highlight w:val="yellow"/>
              </w:rPr>
            </w:pPr>
            <w:r w:rsidDel="00000000" w:rsidR="00000000" w:rsidRPr="00000000">
              <w:rPr>
                <w:rFonts w:ascii="Arial Narrow" w:cs="Arial Narrow" w:eastAsia="Arial Narrow" w:hAnsi="Arial Narrow"/>
                <w:sz w:val="20"/>
                <w:szCs w:val="20"/>
                <w:rtl w:val="0"/>
              </w:rPr>
              <w:t xml:space="preserve">En el área se encuentran los vestigios de varias intervenciones por Guaquería, lo que ha generado historia y mitos.  El nombre del área “Alto del Rey” viene de la extracción de una figura en oro en la zona.</w:t>
            </w:r>
            <w:r w:rsidDel="00000000" w:rsidR="00000000" w:rsidRPr="00000000">
              <w:rPr>
                <w:rtl w:val="0"/>
              </w:rPr>
            </w:r>
          </w:p>
        </w:tc>
      </w:tr>
    </w:tbl>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1"/>
          <w:smallCaps w:val="0"/>
          <w:strike w:val="0"/>
          <w:color w:val="44546a"/>
          <w:sz w:val="20"/>
          <w:szCs w:val="20"/>
          <w:u w:val="none"/>
          <w:shd w:fill="auto" w:val="clear"/>
          <w:vertAlign w:val="baseline"/>
        </w:rPr>
      </w:pPr>
      <w:bookmarkStart w:colFirst="0" w:colLast="0" w:name="_heading=h.4bvk7pj" w:id="63"/>
      <w:bookmarkEnd w:id="63"/>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18. Recursos y atractivos turísticos del AR Alto del Rey</w:t>
      </w:r>
      <w:r w:rsidDel="00000000" w:rsidR="00000000" w:rsidRPr="00000000">
        <w:rPr>
          <w:rtl w:val="0"/>
        </w:rPr>
      </w:r>
    </w:p>
    <w:p w:rsidR="00000000" w:rsidDel="00000000" w:rsidP="00000000" w:rsidRDefault="00000000" w:rsidRPr="00000000" w14:paraId="00000529">
      <w:pPr>
        <w:pStyle w:val="Heading2"/>
        <w:rPr/>
      </w:pPr>
      <w:bookmarkStart w:colFirst="0" w:colLast="0" w:name="_heading=h.2r0uhxc" w:id="64"/>
      <w:bookmarkEnd w:id="64"/>
      <w:r w:rsidDel="00000000" w:rsidR="00000000" w:rsidRPr="00000000">
        <w:rPr>
          <w:rtl w:val="0"/>
        </w:rPr>
        <w:t xml:space="preserve">1.7. Inversiones.</w:t>
      </w:r>
    </w:p>
    <w:p w:rsidR="00000000" w:rsidDel="00000000" w:rsidP="00000000" w:rsidRDefault="00000000" w:rsidRPr="00000000" w14:paraId="0000052A">
      <w:pPr>
        <w:ind w:left="567"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2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gestión que se realiza en el AR Alto del Rey,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rsidR="00000000" w:rsidDel="00000000" w:rsidP="00000000" w:rsidRDefault="00000000" w:rsidRPr="00000000" w14:paraId="0000052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889500" cy="2349500"/>
            <wp:docPr id="737" name=""/>
            <a:graphic>
              <a:graphicData uri="http://schemas.openxmlformats.org/drawingml/2006/chart">
                <c:chart r:id="rId36"/>
              </a:graphicData>
            </a:graphic>
          </wp:inline>
        </w:drawing>
      </w:r>
      <w:r w:rsidDel="00000000" w:rsidR="00000000" w:rsidRPr="00000000">
        <w:rPr>
          <w:rtl w:val="0"/>
        </w:rPr>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1664s55" w:id="65"/>
      <w:bookmarkEnd w:id="6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9. Implementación de recursos CARDER a través del plan operativo anual</w:t>
      </w:r>
      <w:r w:rsidDel="00000000" w:rsidR="00000000" w:rsidRPr="00000000">
        <w:rPr>
          <w:rtl w:val="0"/>
        </w:rPr>
      </w:r>
    </w:p>
    <w:p w:rsidR="00000000" w:rsidDel="00000000" w:rsidP="00000000" w:rsidRDefault="00000000" w:rsidRPr="00000000" w14:paraId="0000052F">
      <w:pPr>
        <w:jc w:val="both"/>
        <w:rPr>
          <w:rFonts w:ascii="Helvetica Neue" w:cs="Helvetica Neue" w:eastAsia="Helvetica Neue" w:hAnsi="Helvetica Neue"/>
          <w:sz w:val="20"/>
          <w:szCs w:val="20"/>
        </w:rPr>
      </w:pPr>
      <w:r w:rsidDel="00000000" w:rsidR="00000000" w:rsidRPr="00000000">
        <w:rPr>
          <w:rFonts w:ascii="Arial Narrow" w:cs="Arial Narrow" w:eastAsia="Arial Narrow" w:hAnsi="Arial Narrow"/>
          <w:sz w:val="24"/>
          <w:szCs w:val="24"/>
          <w:rtl w:val="0"/>
        </w:rPr>
        <w:t xml:space="preserve">La CARDER implementa en las áreas protegidas otros programas como son: agricultura de conservación, dirigido al manejo de los suelos a través de la implementación de sistemas agrícolas de producción sostenible, construcción de estufas eficientes, orientadas al uso sostenible y racional de la leña, que contribuye a disminuir los impactos al medio natural y los sistemas de tratamiento de aguas residuales domésticas STARD, dirigidos al manejo de los vertimientos, mejorando la calidad del recurso. La Gobernación de Risaralda a través del Sistema General de Regalías, ejecuto el proyecto "Mejoramiento y construcción de la infraestructura para el turismo de naturaleza en el departamento de Risaralda", aportando al mejoramiento de senderos</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530">
      <w:pPr>
        <w:jc w:val="both"/>
        <w:rPr>
          <w:rFonts w:ascii="Arial Narrow" w:cs="Arial Narrow" w:eastAsia="Arial Narrow" w:hAnsi="Arial Narrow"/>
          <w:sz w:val="24"/>
          <w:szCs w:val="24"/>
        </w:rPr>
      </w:pPr>
      <w:r w:rsidDel="00000000" w:rsidR="00000000" w:rsidRPr="00000000">
        <w:rPr>
          <w:rtl w:val="0"/>
        </w:rPr>
      </w:r>
    </w:p>
    <w:tbl>
      <w:tblPr>
        <w:tblStyle w:val="Table21"/>
        <w:tblW w:w="7650.0" w:type="dxa"/>
        <w:jc w:val="center"/>
        <w:tblLayout w:type="fixed"/>
        <w:tblLook w:val="0400"/>
      </w:tblPr>
      <w:tblGrid>
        <w:gridCol w:w="680"/>
        <w:gridCol w:w="1560"/>
        <w:gridCol w:w="1080"/>
        <w:gridCol w:w="1353"/>
        <w:gridCol w:w="1843"/>
        <w:gridCol w:w="1134"/>
        <w:tblGridChange w:id="0">
          <w:tblGrid>
            <w:gridCol w:w="680"/>
            <w:gridCol w:w="1560"/>
            <w:gridCol w:w="1080"/>
            <w:gridCol w:w="1353"/>
            <w:gridCol w:w="1843"/>
            <w:gridCol w:w="1134"/>
          </w:tblGrid>
        </w:tblGridChange>
      </w:tblGrid>
      <w:tr>
        <w:trPr>
          <w:trHeight w:val="170" w:hRule="atLeast"/>
        </w:trPr>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531">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Año</w:t>
            </w:r>
          </w:p>
        </w:tc>
        <w:tc>
          <w:tcPr>
            <w:gridSpan w:val="3"/>
            <w:tcBorders>
              <w:top w:color="000000" w:space="0" w:sz="4" w:val="single"/>
              <w:left w:color="000000" w:space="0" w:sz="0" w:val="nil"/>
              <w:bottom w:color="000000" w:space="0" w:sz="4" w:val="single"/>
              <w:right w:color="000000" w:space="0" w:sz="0" w:val="nil"/>
            </w:tcBorders>
            <w:shd w:fill="c6e0b4" w:val="clear"/>
            <w:vAlign w:val="bottom"/>
          </w:tcPr>
          <w:p w:rsidR="00000000" w:rsidDel="00000000" w:rsidP="00000000" w:rsidRDefault="00000000" w:rsidRPr="00000000" w14:paraId="00000532">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CARDER</w:t>
            </w:r>
          </w:p>
        </w:tc>
        <w:tc>
          <w:tcPr>
            <w:tcBorders>
              <w:top w:color="000000" w:space="0" w:sz="4" w:val="single"/>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535">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Otras Instituciones</w:t>
            </w:r>
          </w:p>
        </w:tc>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536">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Total</w:t>
            </w:r>
          </w:p>
        </w:tc>
      </w:tr>
      <w:tr>
        <w:trPr>
          <w:trHeight w:val="170" w:hRule="atLeast"/>
        </w:trPr>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538">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Sistema Tratamiento Aguas STARD</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539">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Estufas eficientes</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53A">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Agricultura de Conservación</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53B">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Gobernación </w:t>
            </w:r>
          </w:p>
        </w:tc>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D">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E">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F">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0">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1">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2">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3">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4">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5">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6">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7">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8">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9">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A">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B">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C">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D">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E">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F">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0">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1">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2">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3">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4">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5">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6">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7">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8">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9">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A">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19.500.000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B">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C">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D">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E">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9.000.000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F">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0">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10.500.000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1">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2">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3">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4">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5">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6">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5.500.000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7">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8">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9">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A">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B">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C">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D">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E">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6.000.000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F">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0">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1">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2">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6.000.000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3">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4">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5">
            <w:pPr>
              <w:spacing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6">
            <w:pPr>
              <w:spacing w:line="240" w:lineRule="auto"/>
              <w:jc w:val="center"/>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7">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8">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trHeight w:val="170" w:hRule="atLeast"/>
        </w:trPr>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9">
            <w:pPr>
              <w:spacing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E">
            <w:pPr>
              <w:spacing w:line="240" w:lineRule="auto"/>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41.500.000</w:t>
            </w:r>
          </w:p>
        </w:tc>
      </w:tr>
    </w:tbl>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3q5sasy" w:id="66"/>
      <w:bookmarkEnd w:id="66"/>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19. Inversiones de entidades diferentes a CARDER y desde otros programas de conservación</w:t>
      </w:r>
      <w:r w:rsidDel="00000000" w:rsidR="00000000" w:rsidRPr="00000000">
        <w:rPr>
          <w:rtl w:val="0"/>
        </w:rPr>
      </w:r>
    </w:p>
    <w:p w:rsidR="00000000" w:rsidDel="00000000" w:rsidP="00000000" w:rsidRDefault="00000000" w:rsidRPr="00000000" w14:paraId="00000580">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81">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82">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83">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84">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85">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86">
      <w:pPr>
        <w:pStyle w:val="Heading2"/>
        <w:rPr/>
      </w:pPr>
      <w:bookmarkStart w:colFirst="0" w:colLast="0" w:name="_heading=h.25b2l0r" w:id="67"/>
      <w:bookmarkEnd w:id="67"/>
      <w:r w:rsidDel="00000000" w:rsidR="00000000" w:rsidRPr="00000000">
        <w:rPr>
          <w:rtl w:val="0"/>
        </w:rPr>
        <w:t xml:space="preserve">1.8. Presiones.</w:t>
      </w:r>
    </w:p>
    <w:p w:rsidR="00000000" w:rsidDel="00000000" w:rsidP="00000000" w:rsidRDefault="00000000" w:rsidRPr="00000000" w14:paraId="0000058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8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procesos, actividades o eventos naturales o antrópicos, que generan un impacto perjudicial en la salud o integridad de un área protegida, afectando los atributos que permiten que un ecosistema o una especie cumplan su función, y por ende disminuye su viabilidad en el tiempo. (Granizo, Tarsicio et al. 2006).</w:t>
      </w:r>
    </w:p>
    <w:p w:rsidR="00000000" w:rsidDel="00000000" w:rsidP="00000000" w:rsidRDefault="00000000" w:rsidRPr="00000000" w14:paraId="0000058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8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rsidR="00000000" w:rsidDel="00000000" w:rsidP="00000000" w:rsidRDefault="00000000" w:rsidRPr="00000000" w14:paraId="0000058B">
      <w:pPr>
        <w:spacing w:line="240" w:lineRule="auto"/>
        <w:rPr>
          <w:rFonts w:ascii="Arial Narrow" w:cs="Arial Narrow" w:eastAsia="Arial Narrow" w:hAnsi="Arial Narrow"/>
          <w:b w:val="1"/>
          <w:sz w:val="24"/>
          <w:szCs w:val="24"/>
          <w:u w:val="single"/>
        </w:rPr>
      </w:pPr>
      <w:r w:rsidDel="00000000" w:rsidR="00000000" w:rsidRPr="00000000">
        <w:rPr>
          <w:rtl w:val="0"/>
        </w:rPr>
      </w:r>
    </w:p>
    <w:p w:rsidR="00000000" w:rsidDel="00000000" w:rsidP="00000000" w:rsidRDefault="00000000" w:rsidRPr="00000000" w14:paraId="0000058C">
      <w:pPr>
        <w:spacing w:line="240" w:lineRule="auto"/>
        <w:jc w:val="center"/>
        <w:rPr>
          <w:rFonts w:ascii="Arial Narrow" w:cs="Arial Narrow" w:eastAsia="Arial Narrow" w:hAnsi="Arial Narrow"/>
          <w:b w:val="1"/>
          <w:sz w:val="24"/>
          <w:szCs w:val="24"/>
          <w:u w:val="single"/>
        </w:rPr>
      </w:pPr>
      <w:r w:rsidDel="00000000" w:rsidR="00000000" w:rsidRPr="00000000">
        <w:rPr/>
        <w:drawing>
          <wp:inline distB="0" distT="0" distL="0" distR="0">
            <wp:extent cx="5033176" cy="3109678"/>
            <wp:docPr id="738" name=""/>
            <a:graphic>
              <a:graphicData uri="http://schemas.openxmlformats.org/drawingml/2006/chart">
                <c:chart r:id="rId37"/>
              </a:graphicData>
            </a:graphic>
          </wp:inline>
        </w:drawing>
      </w:r>
      <w:r w:rsidDel="00000000" w:rsidR="00000000" w:rsidRPr="00000000">
        <w:rPr>
          <w:rtl w:val="0"/>
        </w:rPr>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kgcv8k" w:id="68"/>
      <w:bookmarkEnd w:id="6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10. Presiones identificadas en el AR Alto del Rey</w:t>
      </w:r>
      <w:r w:rsidDel="00000000" w:rsidR="00000000" w:rsidRPr="00000000">
        <w:rPr>
          <w:rtl w:val="0"/>
        </w:rPr>
      </w:r>
    </w:p>
    <w:tbl>
      <w:tblPr>
        <w:tblStyle w:val="Table22"/>
        <w:tblW w:w="89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9"/>
        <w:gridCol w:w="2552"/>
        <w:tblGridChange w:id="0">
          <w:tblGrid>
            <w:gridCol w:w="6379"/>
            <w:gridCol w:w="2552"/>
          </w:tblGrid>
        </w:tblGridChange>
      </w:tblGrid>
      <w:tr>
        <w:tc>
          <w:tcPr>
            <w:shd w:fill="c5e0b3" w:val="clear"/>
            <w:vAlign w:val="bottom"/>
          </w:tcPr>
          <w:p w:rsidR="00000000" w:rsidDel="00000000" w:rsidP="00000000" w:rsidRDefault="00000000" w:rsidRPr="00000000" w14:paraId="0000058E">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Descripción de la Presión</w:t>
            </w:r>
          </w:p>
        </w:tc>
        <w:tc>
          <w:tcPr>
            <w:shd w:fill="c5e0b3" w:val="clear"/>
            <w:vAlign w:val="bottom"/>
          </w:tcPr>
          <w:p w:rsidR="00000000" w:rsidDel="00000000" w:rsidP="00000000" w:rsidRDefault="00000000" w:rsidRPr="00000000" w14:paraId="0000058F">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Fuente que la genera</w:t>
            </w:r>
          </w:p>
        </w:tc>
      </w:tr>
      <w:tr>
        <w:tc>
          <w:tcPr/>
          <w:p w:rsidR="00000000" w:rsidDel="00000000" w:rsidP="00000000" w:rsidRDefault="00000000" w:rsidRPr="00000000" w14:paraId="000005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color w:val="000000"/>
                <w:sz w:val="20"/>
                <w:szCs w:val="20"/>
                <w:rtl w:val="0"/>
              </w:rPr>
              <w:t xml:space="preserve">Quemas agrícolas: </w:t>
            </w:r>
            <w:r w:rsidDel="00000000" w:rsidR="00000000" w:rsidRPr="00000000">
              <w:rPr>
                <w:rFonts w:ascii="Arial Narrow" w:cs="Arial Narrow" w:eastAsia="Arial Narrow" w:hAnsi="Arial Narrow"/>
                <w:color w:val="000000"/>
                <w:sz w:val="20"/>
                <w:szCs w:val="20"/>
                <w:rtl w:val="0"/>
              </w:rPr>
              <w:t xml:space="preserve">En los predios aledaños al área protegida se realizan prácticas de quemas agrícolas para preparar los terrenos para cultivos de café.</w:t>
            </w:r>
            <w:r w:rsidDel="00000000" w:rsidR="00000000" w:rsidRPr="00000000">
              <w:rPr>
                <w:rtl w:val="0"/>
              </w:rPr>
            </w:r>
          </w:p>
        </w:tc>
        <w:tc>
          <w:tcPr/>
          <w:p w:rsidR="00000000" w:rsidDel="00000000" w:rsidP="00000000" w:rsidRDefault="00000000" w:rsidRPr="00000000" w14:paraId="0000059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Prácticas agrícolas incompatibles</w:t>
            </w:r>
          </w:p>
        </w:tc>
      </w:tr>
      <w:tr>
        <w:tc>
          <w:tcPr/>
          <w:p w:rsidR="00000000" w:rsidDel="00000000" w:rsidP="00000000" w:rsidRDefault="00000000" w:rsidRPr="00000000" w14:paraId="000005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Leñateo: </w:t>
            </w:r>
            <w:r w:rsidDel="00000000" w:rsidR="00000000" w:rsidRPr="00000000">
              <w:rPr>
                <w:rFonts w:ascii="Arial Narrow" w:cs="Arial Narrow" w:eastAsia="Arial Narrow" w:hAnsi="Arial Narrow"/>
                <w:sz w:val="20"/>
                <w:szCs w:val="20"/>
                <w:rtl w:val="0"/>
              </w:rPr>
              <w:t xml:space="preserve">las viviendas que se encuentran en el área de influencia ingresan al área protegida a extraer leña para el uso doméstico.</w:t>
            </w:r>
          </w:p>
        </w:tc>
        <w:tc>
          <w:tcPr/>
          <w:p w:rsidR="00000000" w:rsidDel="00000000" w:rsidP="00000000" w:rsidRDefault="00000000" w:rsidRPr="00000000" w14:paraId="0000059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 se dispone de bosques leñeros en los predios</w:t>
            </w:r>
          </w:p>
        </w:tc>
      </w:tr>
      <w:tr>
        <w:tc>
          <w:tcPr/>
          <w:p w:rsidR="00000000" w:rsidDel="00000000" w:rsidP="00000000" w:rsidRDefault="00000000" w:rsidRPr="00000000" w14:paraId="000005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Manejo inadecuado de residuos sólidos: </w:t>
            </w:r>
            <w:r w:rsidDel="00000000" w:rsidR="00000000" w:rsidRPr="00000000">
              <w:rPr>
                <w:rFonts w:ascii="Arial Narrow" w:cs="Arial Narrow" w:eastAsia="Arial Narrow" w:hAnsi="Arial Narrow"/>
                <w:sz w:val="20"/>
                <w:szCs w:val="20"/>
                <w:rtl w:val="0"/>
              </w:rPr>
              <w:t xml:space="preserve">Los residentes la queman o se tira al aire libre. En el sector de la Quiebra pasa el vehículo recolector, pero la gente no la saca a tiempo.</w:t>
            </w:r>
          </w:p>
        </w:tc>
        <w:tc>
          <w:tcPr/>
          <w:p w:rsidR="00000000" w:rsidDel="00000000" w:rsidP="00000000" w:rsidRDefault="00000000" w:rsidRPr="00000000" w14:paraId="0000059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Débiles programas de saneamiento básico en la zona rural.</w:t>
            </w:r>
          </w:p>
        </w:tc>
      </w:tr>
      <w:tr>
        <w:tc>
          <w:tcPr/>
          <w:p w:rsidR="00000000" w:rsidDel="00000000" w:rsidP="00000000" w:rsidRDefault="00000000" w:rsidRPr="00000000" w14:paraId="0000059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Cacería: </w:t>
            </w:r>
            <w:r w:rsidDel="00000000" w:rsidR="00000000" w:rsidRPr="00000000">
              <w:rPr>
                <w:rFonts w:ascii="Arial Narrow" w:cs="Arial Narrow" w:eastAsia="Arial Narrow" w:hAnsi="Arial Narrow"/>
                <w:sz w:val="20"/>
                <w:szCs w:val="20"/>
                <w:rtl w:val="0"/>
              </w:rPr>
              <w:t xml:space="preserve">Cerca al área protegida en los últimos años llego una familia indígena de la comunidad Embera, los cuales están en la actualidad cazando gurres y guatines.</w:t>
            </w:r>
          </w:p>
        </w:tc>
        <w:tc>
          <w:tcPr/>
          <w:p w:rsidR="00000000" w:rsidDel="00000000" w:rsidP="00000000" w:rsidRDefault="00000000" w:rsidRPr="00000000" w14:paraId="0000059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Tradiciones y preferencias de los consumidores. </w:t>
            </w:r>
          </w:p>
        </w:tc>
      </w:tr>
      <w:tr>
        <w:tc>
          <w:tcPr/>
          <w:p w:rsidR="00000000" w:rsidDel="00000000" w:rsidP="00000000" w:rsidRDefault="00000000" w:rsidRPr="00000000" w14:paraId="000005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Extracción de madera para estacones: </w:t>
            </w:r>
            <w:r w:rsidDel="00000000" w:rsidR="00000000" w:rsidRPr="00000000">
              <w:rPr>
                <w:rFonts w:ascii="Arial Narrow" w:cs="Arial Narrow" w:eastAsia="Arial Narrow" w:hAnsi="Arial Narrow"/>
                <w:sz w:val="20"/>
                <w:szCs w:val="20"/>
                <w:rtl w:val="0"/>
              </w:rPr>
              <w:t xml:space="preserve">Algunas fincas de la vereda Granatal, sacan estacones de azuceno, guadua o sietecueros del área protegida, para utilizarlos como estacones para el cerco del ganado.</w:t>
            </w:r>
          </w:p>
        </w:tc>
        <w:tc>
          <w:tcPr/>
          <w:p w:rsidR="00000000" w:rsidDel="00000000" w:rsidP="00000000" w:rsidRDefault="00000000" w:rsidRPr="00000000" w14:paraId="0000059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 se dispone de bosques productores para los usos en el predio.</w:t>
            </w:r>
          </w:p>
        </w:tc>
      </w:tr>
      <w:tr>
        <w:tc>
          <w:tcPr/>
          <w:p w:rsidR="00000000" w:rsidDel="00000000" w:rsidP="00000000" w:rsidRDefault="00000000" w:rsidRPr="00000000" w14:paraId="000005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Turismo no regulado: </w:t>
            </w:r>
            <w:r w:rsidDel="00000000" w:rsidR="00000000" w:rsidRPr="00000000">
              <w:rPr>
                <w:rFonts w:ascii="Arial Narrow" w:cs="Arial Narrow" w:eastAsia="Arial Narrow" w:hAnsi="Arial Narrow"/>
                <w:sz w:val="20"/>
                <w:szCs w:val="20"/>
                <w:rtl w:val="0"/>
              </w:rPr>
              <w:t xml:space="preserve">Al área protegida ingresan personas sin una información previa sobre los procesos de conservación, dejando basura o en algunas ocasiones dañando los pasamanos.</w:t>
            </w:r>
          </w:p>
        </w:tc>
        <w:tc>
          <w:tcPr/>
          <w:p w:rsidR="00000000" w:rsidDel="00000000" w:rsidP="00000000" w:rsidRDefault="00000000" w:rsidRPr="00000000" w14:paraId="0000059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Regulación débil de las actividades ecoturísticas.</w:t>
            </w:r>
          </w:p>
          <w:p w:rsidR="00000000" w:rsidDel="00000000" w:rsidP="00000000" w:rsidRDefault="00000000" w:rsidRPr="00000000" w14:paraId="0000059C">
            <w:pPr>
              <w:jc w:val="center"/>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59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Guaquería Ilegal: Al área protegida ingresan personas en busca de guacas, lo que implica deterioro de la cobertura vegetal, movimiento de tierra, construcción de huecos que se convierten en un riesgo latente a los visitantes y propios, deterioro de la infraestructura y riesgo latente de generación de incendios</w:t>
            </w:r>
          </w:p>
        </w:tc>
        <w:tc>
          <w:tcPr/>
          <w:p w:rsidR="00000000" w:rsidDel="00000000" w:rsidP="00000000" w:rsidRDefault="00000000" w:rsidRPr="00000000" w14:paraId="0000059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Tradiciones orales y mitos sobre tesoros en la zona</w:t>
            </w:r>
          </w:p>
        </w:tc>
      </w:tr>
      <w:tr>
        <w:tc>
          <w:tcPr/>
          <w:p w:rsidR="00000000" w:rsidDel="00000000" w:rsidP="00000000" w:rsidRDefault="00000000" w:rsidRPr="00000000" w14:paraId="0000059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Ampliación de la Frontera Agrícola: los predios aledaños van ampliando sus áreas de cultivos hacia la zona protegida, acabando con la biodiversidad de las especies forestales y especies de fauna</w:t>
            </w:r>
          </w:p>
        </w:tc>
        <w:tc>
          <w:tcPr/>
          <w:p w:rsidR="00000000" w:rsidDel="00000000" w:rsidP="00000000" w:rsidRDefault="00000000" w:rsidRPr="00000000" w14:paraId="000005A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Incremento de zonas de cultivo</w:t>
            </w:r>
          </w:p>
        </w:tc>
      </w:tr>
    </w:tbl>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34g0dwd" w:id="69"/>
      <w:bookmarkEnd w:id="69"/>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20. Caracterización y fuente de las presiones identificadas en el AR Alto del Rey</w:t>
      </w:r>
      <w:r w:rsidDel="00000000" w:rsidR="00000000" w:rsidRPr="00000000">
        <w:rPr>
          <w:rtl w:val="0"/>
        </w:rPr>
      </w:r>
    </w:p>
    <w:p w:rsidR="00000000" w:rsidDel="00000000" w:rsidP="00000000" w:rsidRDefault="00000000" w:rsidRPr="00000000" w14:paraId="000005A2">
      <w:pPr>
        <w:pStyle w:val="Heading2"/>
        <w:rPr/>
      </w:pPr>
      <w:bookmarkStart w:colFirst="0" w:colLast="0" w:name="_heading=h.1jlao46" w:id="70"/>
      <w:bookmarkEnd w:id="70"/>
      <w:r w:rsidDel="00000000" w:rsidR="00000000" w:rsidRPr="00000000">
        <w:rPr>
          <w:rtl w:val="0"/>
        </w:rPr>
        <w:t xml:space="preserve">1.9. Evaluación de la efectividad del manejo</w:t>
      </w:r>
    </w:p>
    <w:p w:rsidR="00000000" w:rsidDel="00000000" w:rsidP="00000000" w:rsidRDefault="00000000" w:rsidRPr="00000000" w14:paraId="000005A3">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5A4">
      <w:pPr>
        <w:jc w:val="both"/>
        <w:rPr>
          <w:rFonts w:ascii="Arial Narrow" w:cs="Arial Narrow" w:eastAsia="Arial Narrow" w:hAnsi="Arial Narrow"/>
          <w:sz w:val="24"/>
          <w:szCs w:val="24"/>
        </w:rPr>
      </w:pPr>
      <w:bookmarkStart w:colFirst="0" w:colLast="0" w:name="_heading=h.43ky6rz" w:id="71"/>
      <w:bookmarkEnd w:id="71"/>
      <w:r w:rsidDel="00000000" w:rsidR="00000000" w:rsidRPr="00000000">
        <w:rPr>
          <w:rFonts w:ascii="Arial Narrow" w:cs="Arial Narrow" w:eastAsia="Arial Narrow" w:hAnsi="Arial Narrow"/>
          <w:sz w:val="24"/>
          <w:szCs w:val="24"/>
          <w:rtl w:val="0"/>
        </w:rPr>
        <w:t xml:space="preserve">Para fortalecer la planeación, gestión y evaluación de las áreas protegidas de carácter regional, fue desarrollada la metodología “Efectividad del Manejo para las Áreas Protegidas - EMAP”. 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 (Barrero, Niño, Ramírez y Anaya, 2020).</w:t>
      </w:r>
    </w:p>
    <w:p w:rsidR="00000000" w:rsidDel="00000000" w:rsidP="00000000" w:rsidRDefault="00000000" w:rsidRPr="00000000" w14:paraId="000005A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A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EMAP está constituido por seis (6) ejes temáticos que aplican a todas las categorías de manejo de carácter público: logros, contexto, planeación y seguimiento, gobernanza, recursos y sistemas productivos sostenibles, </w:t>
      </w:r>
      <w:r w:rsidDel="00000000" w:rsidR="00000000" w:rsidRPr="00000000">
        <w:rPr>
          <w:rFonts w:ascii="Arial Narrow" w:cs="Arial Narrow" w:eastAsia="Arial Narrow" w:hAnsi="Arial Narrow"/>
          <w:sz w:val="24"/>
          <w:szCs w:val="24"/>
          <w:rtl w:val="0"/>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rsidR="00000000" w:rsidDel="00000000" w:rsidP="00000000" w:rsidRDefault="00000000" w:rsidRPr="00000000" w14:paraId="000005A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A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Los resultados de la calificación de los ejes temáticos se ponderan en una relación porcentual, donde </w:t>
      </w:r>
      <w:r w:rsidDel="00000000" w:rsidR="00000000" w:rsidRPr="00000000">
        <w:rPr>
          <w:rFonts w:ascii="Arial Narrow" w:cs="Arial Narrow" w:eastAsia="Arial Narrow" w:hAnsi="Arial Narrow"/>
          <w:sz w:val="24"/>
          <w:szCs w:val="24"/>
          <w:rtl w:val="0"/>
        </w:rPr>
        <w:t xml:space="preserve">las áreas en situación de fortaleza corresponden a aquellas en que el índice de efectividad del manejo es &gt;69%; en estado intermedio, se ubican las áreas con un índice mayor que el 50 y &lt;=69% y en estado de debilidad, áreas cuyo índice es &lt;=50.</w:t>
      </w:r>
    </w:p>
    <w:p w:rsidR="00000000" w:rsidDel="00000000" w:rsidP="00000000" w:rsidRDefault="00000000" w:rsidRPr="00000000" w14:paraId="000005A9">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5AA">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Resultados del Índice de Efectividad del Manejo.</w:t>
      </w:r>
    </w:p>
    <w:p w:rsidR="00000000" w:rsidDel="00000000" w:rsidP="00000000" w:rsidRDefault="00000000" w:rsidRPr="00000000" w14:paraId="000005A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el AR Alto del Rey se realizó la aplicación de la herramienta para el año 2019, vinculando los actores institucionales y sociales relacionados con el manejo del área protegida, identificando los siguientes resultados:</w:t>
      </w:r>
    </w:p>
    <w:p w:rsidR="00000000" w:rsidDel="00000000" w:rsidP="00000000" w:rsidRDefault="00000000" w:rsidRPr="00000000" w14:paraId="000005A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AD">
      <w:pPr>
        <w:jc w:val="center"/>
        <w:rPr>
          <w:rFonts w:ascii="Arial Narrow" w:cs="Arial Narrow" w:eastAsia="Arial Narrow" w:hAnsi="Arial Narrow"/>
          <w:sz w:val="24"/>
          <w:szCs w:val="24"/>
        </w:rPr>
      </w:pPr>
      <w:r w:rsidDel="00000000" w:rsidR="00000000" w:rsidRPr="00000000">
        <w:rPr>
          <w:b w:val="1"/>
        </w:rPr>
        <w:drawing>
          <wp:inline distB="0" distT="0" distL="0" distR="0">
            <wp:extent cx="3648075" cy="2228850"/>
            <wp:docPr id="727" name=""/>
            <a:graphic>
              <a:graphicData uri="http://schemas.openxmlformats.org/drawingml/2006/chart">
                <c:chart r:id="rId38"/>
              </a:graphicData>
            </a:graphic>
          </wp:inline>
        </w:drawing>
      </w:r>
      <w:r w:rsidDel="00000000" w:rsidR="00000000" w:rsidRPr="00000000">
        <w:rPr>
          <w:rtl w:val="0"/>
        </w:rPr>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2iq8gzs" w:id="72"/>
      <w:bookmarkEnd w:id="7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11. Resultados del Índice de Efectividad del AR Alto del Rey</w:t>
      </w:r>
      <w:r w:rsidDel="00000000" w:rsidR="00000000" w:rsidRPr="00000000">
        <w:rPr>
          <w:rtl w:val="0"/>
        </w:rPr>
      </w:r>
    </w:p>
    <w:p w:rsidR="00000000" w:rsidDel="00000000" w:rsidP="00000000" w:rsidRDefault="00000000" w:rsidRPr="00000000" w14:paraId="000005A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El área protegida presenta un nivel de avance en su efectividad de manejo del 75% y un 25% pendiente para fortalecer su manejo, especialmente en los ejes temáticos que tienen menor porcentaje en su nivel de avance.</w:t>
      </w:r>
    </w:p>
    <w:p w:rsidR="00000000" w:rsidDel="00000000" w:rsidP="00000000" w:rsidRDefault="00000000" w:rsidRPr="00000000" w14:paraId="000005B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B1">
      <w:pPr>
        <w:jc w:val="both"/>
        <w:rPr>
          <w:rFonts w:ascii="Arial Narrow" w:cs="Arial Narrow" w:eastAsia="Arial Narrow" w:hAnsi="Arial Narrow"/>
          <w:sz w:val="24"/>
          <w:szCs w:val="24"/>
        </w:rPr>
      </w:pPr>
      <w:r w:rsidDel="00000000" w:rsidR="00000000" w:rsidRPr="00000000">
        <w:rPr/>
        <w:drawing>
          <wp:inline distB="0" distT="0" distL="0" distR="0">
            <wp:extent cx="5612130" cy="2628900"/>
            <wp:docPr id="728" name=""/>
            <a:graphic>
              <a:graphicData uri="http://schemas.openxmlformats.org/drawingml/2006/chart">
                <c:chart r:id="rId39"/>
              </a:graphicData>
            </a:graphic>
          </wp:inline>
        </w:drawing>
      </w:r>
      <w:r w:rsidDel="00000000" w:rsidR="00000000" w:rsidRPr="00000000">
        <w:rPr>
          <w:rtl w:val="0"/>
        </w:rPr>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xvir7l" w:id="73"/>
      <w:bookmarkEnd w:id="7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12. Resultado del avance en la Efectividad del Manejo del AR Alto del Rey</w:t>
      </w:r>
      <w:r w:rsidDel="00000000" w:rsidR="00000000" w:rsidRPr="00000000">
        <w:rPr>
          <w:rtl w:val="0"/>
        </w:rPr>
      </w:r>
    </w:p>
    <w:p w:rsidR="00000000" w:rsidDel="00000000" w:rsidP="00000000" w:rsidRDefault="00000000" w:rsidRPr="00000000" w14:paraId="000005B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Logros, </w:t>
      </w:r>
      <w:r w:rsidDel="00000000" w:rsidR="00000000" w:rsidRPr="00000000">
        <w:rPr>
          <w:rFonts w:ascii="Arial Narrow" w:cs="Arial Narrow" w:eastAsia="Arial Narrow" w:hAnsi="Arial Narrow"/>
          <w:sz w:val="24"/>
          <w:szCs w:val="24"/>
          <w:rtl w:val="0"/>
        </w:rPr>
        <w:t xml:space="preserve">bajo este eje de análisis, se consideran cuatro aspectos: salud del área protegida, adaptación frente al clima cambiante, valores culturales asociados a los objetivos de conservación (en el caso que aplique) y beneficios asociados a las contribuciones de la naturaleza. El nivel de avance esta dado en un 81%, encontrándose en una situación de fortaleza. El aspecto relacionado con la salud del área dispone de información especialmente de coberturas, es necesario actualizar ejercicios de integridad.  </w:t>
      </w:r>
    </w:p>
    <w:p w:rsidR="00000000" w:rsidDel="00000000" w:rsidP="00000000" w:rsidRDefault="00000000" w:rsidRPr="00000000" w14:paraId="000005B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B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B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B7">
      <w:pPr>
        <w:jc w:val="center"/>
        <w:rPr>
          <w:rFonts w:ascii="Arial Narrow" w:cs="Arial Narrow" w:eastAsia="Arial Narrow" w:hAnsi="Arial Narrow"/>
          <w:sz w:val="24"/>
          <w:szCs w:val="24"/>
        </w:rPr>
      </w:pPr>
      <w:r w:rsidDel="00000000" w:rsidR="00000000" w:rsidRPr="00000000">
        <w:rPr/>
        <w:drawing>
          <wp:inline distB="0" distT="0" distL="0" distR="0">
            <wp:extent cx="3581400" cy="2800350"/>
            <wp:docPr id="729" name=""/>
            <a:graphic>
              <a:graphicData uri="http://schemas.openxmlformats.org/drawingml/2006/chart">
                <c:chart r:id="rId40"/>
              </a:graphicData>
            </a:graphic>
          </wp:inline>
        </w:drawing>
      </w:r>
      <w:r w:rsidDel="00000000" w:rsidR="00000000" w:rsidRPr="00000000">
        <w:rPr>
          <w:rtl w:val="0"/>
        </w:rPr>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hv69ve" w:id="74"/>
      <w:bookmarkEnd w:id="7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13. Resultados del Eje temático Logros</w:t>
      </w:r>
      <w:r w:rsidDel="00000000" w:rsidR="00000000" w:rsidRPr="00000000">
        <w:rPr>
          <w:rtl w:val="0"/>
        </w:rPr>
      </w:r>
    </w:p>
    <w:p w:rsidR="00000000" w:rsidDel="00000000" w:rsidP="00000000" w:rsidRDefault="00000000" w:rsidRPr="00000000" w14:paraId="000005B9">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Contexto, </w:t>
      </w:r>
      <w:r w:rsidDel="00000000" w:rsidR="00000000" w:rsidRPr="00000000">
        <w:rPr>
          <w:rFonts w:ascii="Arial Narrow" w:cs="Arial Narrow" w:eastAsia="Arial Narrow" w:hAnsi="Arial Narrow"/>
          <w:sz w:val="24"/>
          <w:szCs w:val="24"/>
          <w:rtl w:val="0"/>
        </w:rPr>
        <w:t xml:space="preserve">El análisis de este eje, se enfoca en: oportunidades en el territorio para la gestión, claridad en la propiedad de la tierra, conflictos socio-ambientales y presiones y amenazas.</w:t>
      </w:r>
    </w:p>
    <w:p w:rsidR="00000000" w:rsidDel="00000000" w:rsidP="00000000" w:rsidRDefault="00000000" w:rsidRPr="00000000" w14:paraId="000005BA">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B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Respecto al primer elemento, el AR Alto Rey, aprovecha las oportunidades que se tiene en el contexto territorial, para promover la conectividad con corredores especialmente a través de corrientes hídricas. Con relación a los conflictos socio-ambientales y las presiones, presenta una situación de debilidad, ya que éstos se encuentran asociados a cambios en el uso del suelo, principalmente por la expansión de cultivos agrícolas que genera impactos en la conservación.</w:t>
      </w:r>
    </w:p>
    <w:p w:rsidR="00000000" w:rsidDel="00000000" w:rsidP="00000000" w:rsidRDefault="00000000" w:rsidRPr="00000000" w14:paraId="000005BC">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BD">
      <w:pPr>
        <w:jc w:val="center"/>
        <w:rPr>
          <w:rFonts w:ascii="Arial Narrow" w:cs="Arial Narrow" w:eastAsia="Arial Narrow" w:hAnsi="Arial Narrow"/>
          <w:sz w:val="24"/>
          <w:szCs w:val="24"/>
        </w:rPr>
      </w:pPr>
      <w:r w:rsidDel="00000000" w:rsidR="00000000" w:rsidRPr="00000000">
        <w:rPr/>
        <w:drawing>
          <wp:inline distB="0" distT="0" distL="0" distR="0">
            <wp:extent cx="4114800" cy="2933700"/>
            <wp:docPr id="730" name=""/>
            <a:graphic>
              <a:graphicData uri="http://schemas.openxmlformats.org/drawingml/2006/chart">
                <c:chart r:id="rId41"/>
              </a:graphicData>
            </a:graphic>
          </wp:inline>
        </w:drawing>
      </w:r>
      <w:r w:rsidDel="00000000" w:rsidR="00000000" w:rsidRPr="00000000">
        <w:rPr>
          <w:rtl w:val="0"/>
        </w:rPr>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1"/>
          <w:color w:val="44546a"/>
          <w:sz w:val="24"/>
          <w:szCs w:val="24"/>
          <w:u w:val="none"/>
          <w:shd w:fill="auto" w:val="clear"/>
          <w:vertAlign w:val="baseline"/>
        </w:rPr>
      </w:pPr>
      <w:bookmarkStart w:colFirst="0" w:colLast="0" w:name="_heading=h.1x0gk37" w:id="75"/>
      <w:bookmarkEnd w:id="7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14. Resultados del Eje Temático: Contexto</w:t>
      </w:r>
      <w:r w:rsidDel="00000000" w:rsidR="00000000" w:rsidRPr="00000000">
        <w:rPr>
          <w:rtl w:val="0"/>
        </w:rPr>
      </w:r>
    </w:p>
    <w:p w:rsidR="00000000" w:rsidDel="00000000" w:rsidP="00000000" w:rsidRDefault="00000000" w:rsidRPr="00000000" w14:paraId="000005B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C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C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C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C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rsidR="00000000" w:rsidDel="00000000" w:rsidP="00000000" w:rsidRDefault="00000000" w:rsidRPr="00000000" w14:paraId="000005C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C5">
      <w:pPr>
        <w:jc w:val="center"/>
        <w:rPr>
          <w:rFonts w:ascii="Arial Narrow" w:cs="Arial Narrow" w:eastAsia="Arial Narrow" w:hAnsi="Arial Narrow"/>
          <w:sz w:val="24"/>
          <w:szCs w:val="24"/>
        </w:rPr>
      </w:pPr>
      <w:r w:rsidDel="00000000" w:rsidR="00000000" w:rsidRPr="00000000">
        <w:rPr/>
        <w:drawing>
          <wp:inline distB="0" distT="0" distL="0" distR="0">
            <wp:extent cx="5610225" cy="4267200"/>
            <wp:docPr id="731" name=""/>
            <a:graphic>
              <a:graphicData uri="http://schemas.openxmlformats.org/drawingml/2006/chart">
                <c:chart r:id="rId42"/>
              </a:graphicData>
            </a:graphic>
          </wp:inline>
        </w:drawing>
      </w:r>
      <w:r w:rsidDel="00000000" w:rsidR="00000000" w:rsidRPr="00000000">
        <w:rPr>
          <w:rtl w:val="0"/>
        </w:rPr>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4h042r0" w:id="76"/>
      <w:bookmarkEnd w:id="7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15. Resultados del Eje Temático: Planeación, seguimiento y Evaluación</w:t>
      </w:r>
      <w:r w:rsidDel="00000000" w:rsidR="00000000" w:rsidRPr="00000000">
        <w:rPr>
          <w:rtl w:val="0"/>
        </w:rPr>
      </w:r>
    </w:p>
    <w:p w:rsidR="00000000" w:rsidDel="00000000" w:rsidP="00000000" w:rsidRDefault="00000000" w:rsidRPr="00000000" w14:paraId="000005C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mayoría de los aspectos se encuentran en situación intermedia. Se requiere socializar y apropiara los límites del área protegida, cumplir de manera efectiva la zonificación e implementar las líneas de gestión del área protegida para el ordenamiento territorial y sistemas productivos sostenibles.</w:t>
      </w:r>
    </w:p>
    <w:p w:rsidR="00000000" w:rsidDel="00000000" w:rsidP="00000000" w:rsidRDefault="00000000" w:rsidRPr="00000000" w14:paraId="000005C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C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de recursos incluye tres (3) aspectos: Talento humano, sostenibilidad financiera y equipo e infraestructura, estos dos últimos presenta una situación intermedia, ya que no se dispone de los equipos y herramientas requeridos para la gestión, es prioritario elaborar un plan de adquisiciones, donde se identifiquen los equipos y la infraestructura requerida y un plan para la sostenibilidad financiera.</w:t>
      </w:r>
    </w:p>
    <w:p w:rsidR="00000000" w:rsidDel="00000000" w:rsidP="00000000" w:rsidRDefault="00000000" w:rsidRPr="00000000" w14:paraId="000005C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CB">
      <w:pPr>
        <w:jc w:val="center"/>
        <w:rPr>
          <w:rFonts w:ascii="Arial Narrow" w:cs="Arial Narrow" w:eastAsia="Arial Narrow" w:hAnsi="Arial Narrow"/>
          <w:sz w:val="24"/>
          <w:szCs w:val="24"/>
        </w:rPr>
      </w:pPr>
      <w:r w:rsidDel="00000000" w:rsidR="00000000" w:rsidRPr="00000000">
        <w:rPr/>
        <w:drawing>
          <wp:inline distB="0" distT="0" distL="0" distR="0">
            <wp:extent cx="4972050" cy="2686050"/>
            <wp:docPr id="732"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w5ecyt" w:id="77"/>
      <w:bookmarkEnd w:id="7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16. Resultados del Eje Temático: Gestión de los recursos físicos, financieros y humanos</w:t>
      </w:r>
      <w:r w:rsidDel="00000000" w:rsidR="00000000" w:rsidRPr="00000000">
        <w:rPr>
          <w:rtl w:val="0"/>
        </w:rPr>
      </w:r>
    </w:p>
    <w:p w:rsidR="00000000" w:rsidDel="00000000" w:rsidP="00000000" w:rsidRDefault="00000000" w:rsidRPr="00000000" w14:paraId="000005C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rsidR="00000000" w:rsidDel="00000000" w:rsidP="00000000" w:rsidRDefault="00000000" w:rsidRPr="00000000" w14:paraId="000005CE">
      <w:pPr>
        <w:tabs>
          <w:tab w:val="left" w:pos="585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r>
    </w:p>
    <w:p w:rsidR="00000000" w:rsidDel="00000000" w:rsidP="00000000" w:rsidRDefault="00000000" w:rsidRPr="00000000" w14:paraId="000005CF">
      <w:pPr>
        <w:tabs>
          <w:tab w:val="left" w:pos="5850"/>
        </w:tabs>
        <w:jc w:val="center"/>
        <w:rPr>
          <w:rFonts w:ascii="Arial Narrow" w:cs="Arial Narrow" w:eastAsia="Arial Narrow" w:hAnsi="Arial Narrow"/>
          <w:sz w:val="24"/>
          <w:szCs w:val="24"/>
        </w:rPr>
      </w:pPr>
      <w:r w:rsidDel="00000000" w:rsidR="00000000" w:rsidRPr="00000000">
        <w:rPr/>
        <w:drawing>
          <wp:inline distB="0" distT="0" distL="0" distR="0">
            <wp:extent cx="4690110" cy="3086100"/>
            <wp:docPr id="733"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baon6m" w:id="78"/>
      <w:bookmarkEnd w:id="7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17. Resultados del Eje Temático: Gobernanza</w:t>
      </w:r>
      <w:r w:rsidDel="00000000" w:rsidR="00000000" w:rsidRPr="00000000">
        <w:rPr>
          <w:rtl w:val="0"/>
        </w:rPr>
      </w:r>
    </w:p>
    <w:p w:rsidR="00000000" w:rsidDel="00000000" w:rsidP="00000000" w:rsidRDefault="00000000" w:rsidRPr="00000000" w14:paraId="000005D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AR Alto del Rey, existen instancias para la participación y gestión, las cuales se están consolidando en el territorio y se avanza en la definición de estrategias para incluir elementos intergeneracionales y/o de género para mejorar la gobernanza del área protegida y la administración municipal como actor estratégico para el área protegida. </w:t>
      </w:r>
    </w:p>
    <w:p w:rsidR="00000000" w:rsidDel="00000000" w:rsidP="00000000" w:rsidRDefault="00000000" w:rsidRPr="00000000" w14:paraId="000005D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D3">
      <w:pPr>
        <w:jc w:val="center"/>
        <w:rPr>
          <w:rFonts w:ascii="Arial Narrow" w:cs="Arial Narrow" w:eastAsia="Arial Narrow" w:hAnsi="Arial Narrow"/>
          <w:sz w:val="24"/>
          <w:szCs w:val="24"/>
        </w:rPr>
      </w:pPr>
      <w:r w:rsidDel="00000000" w:rsidR="00000000" w:rsidRPr="00000000">
        <w:rPr/>
        <w:drawing>
          <wp:inline distB="0" distT="0" distL="0" distR="0">
            <wp:extent cx="5000625" cy="3181350"/>
            <wp:docPr id="734" name=""/>
            <a:graphic>
              <a:graphicData uri="http://schemas.openxmlformats.org/drawingml/2006/chart">
                <c:chart r:id="rId45"/>
              </a:graphicData>
            </a:graphic>
          </wp:inline>
        </w:drawing>
      </w:r>
      <w:r w:rsidDel="00000000" w:rsidR="00000000" w:rsidRPr="00000000">
        <w:rPr>
          <w:rtl w:val="0"/>
        </w:rPr>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vac5uf" w:id="79"/>
      <w:bookmarkEnd w:id="7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18. Resultados del Eje Temático: Sistemas Productivos Sostenibles</w:t>
      </w:r>
      <w:r w:rsidDel="00000000" w:rsidR="00000000" w:rsidRPr="00000000">
        <w:rPr>
          <w:rtl w:val="0"/>
        </w:rPr>
      </w:r>
    </w:p>
    <w:p w:rsidR="00000000" w:rsidDel="00000000" w:rsidP="00000000" w:rsidRDefault="00000000" w:rsidRPr="00000000" w14:paraId="000005D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rsidR="00000000" w:rsidDel="00000000" w:rsidP="00000000" w:rsidRDefault="00000000" w:rsidRPr="00000000" w14:paraId="000005D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D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mayoría de los aspectos analizados en este eje se encuentran en situación crítica para el área protegida, ya que no se generan o no se han identificado, cadenas de valor, proyectos de biocomercio y programas de buenas prácticas, para los sistemas productivos del Área de Recreación y su zona aledaña. Se requiere una estrategia efectiva de articulación del área protegida con el sector productivo y las respectivas agendas ambientales. Con relación al turismo como estrategia de conservación se encuentra para el área en estado de fortaleza, con un gran potencial para generar beneficios en la comunidad local.</w:t>
      </w:r>
    </w:p>
    <w:p w:rsidR="00000000" w:rsidDel="00000000" w:rsidP="00000000" w:rsidRDefault="00000000" w:rsidRPr="00000000" w14:paraId="000005D8">
      <w:pPr>
        <w:ind w:left="567" w:firstLine="0"/>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5D9">
      <w:pPr>
        <w:pStyle w:val="Heading2"/>
        <w:rPr/>
      </w:pPr>
      <w:bookmarkStart w:colFirst="0" w:colLast="0" w:name="_heading=h.2afmg28" w:id="80"/>
      <w:bookmarkEnd w:id="80"/>
      <w:r w:rsidDel="00000000" w:rsidR="00000000" w:rsidRPr="00000000">
        <w:rPr>
          <w:rtl w:val="0"/>
        </w:rPr>
        <w:t xml:space="preserve">1.10. Síntesis Diagnóstica.</w:t>
      </w:r>
    </w:p>
    <w:p w:rsidR="00000000" w:rsidDel="00000000" w:rsidP="00000000" w:rsidRDefault="00000000" w:rsidRPr="00000000" w14:paraId="000005DA">
      <w:pPr>
        <w:ind w:left="709"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D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rsidR="00000000" w:rsidDel="00000000" w:rsidP="00000000" w:rsidRDefault="00000000" w:rsidRPr="00000000" w14:paraId="000005DC">
      <w:pPr>
        <w:jc w:val="both"/>
        <w:rPr>
          <w:rFonts w:ascii="Arial Narrow" w:cs="Arial Narrow" w:eastAsia="Arial Narrow" w:hAnsi="Arial Narrow"/>
          <w:sz w:val="24"/>
          <w:szCs w:val="24"/>
        </w:rPr>
      </w:pPr>
      <w:r w:rsidDel="00000000" w:rsidR="00000000" w:rsidRPr="00000000">
        <w:rPr>
          <w:rtl w:val="0"/>
        </w:rPr>
      </w:r>
    </w:p>
    <w:tbl>
      <w:tblPr>
        <w:tblStyle w:val="Table23"/>
        <w:tblW w:w="91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4678"/>
        <w:gridCol w:w="3616"/>
        <w:tblGridChange w:id="0">
          <w:tblGrid>
            <w:gridCol w:w="846"/>
            <w:gridCol w:w="4678"/>
            <w:gridCol w:w="3616"/>
          </w:tblGrid>
        </w:tblGridChange>
      </w:tblGrid>
      <w:tr>
        <w:trPr>
          <w:trHeight w:val="431" w:hRule="atLeast"/>
        </w:trPr>
        <w:tc>
          <w:tcPr>
            <w:shd w:fill="c5e0b3" w:val="clear"/>
            <w:vAlign w:val="center"/>
          </w:tcPr>
          <w:p w:rsidR="00000000" w:rsidDel="00000000" w:rsidP="00000000" w:rsidRDefault="00000000" w:rsidRPr="00000000" w14:paraId="000005DD">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Aspecto</w:t>
            </w:r>
          </w:p>
        </w:tc>
        <w:tc>
          <w:tcPr>
            <w:shd w:fill="c5e0b3" w:val="clear"/>
            <w:vAlign w:val="center"/>
          </w:tcPr>
          <w:p w:rsidR="00000000" w:rsidDel="00000000" w:rsidP="00000000" w:rsidRDefault="00000000" w:rsidRPr="00000000" w14:paraId="000005DE">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Debilidades</w:t>
            </w:r>
          </w:p>
        </w:tc>
        <w:tc>
          <w:tcPr>
            <w:shd w:fill="c5e0b3" w:val="clear"/>
            <w:vAlign w:val="center"/>
          </w:tcPr>
          <w:p w:rsidR="00000000" w:rsidDel="00000000" w:rsidP="00000000" w:rsidRDefault="00000000" w:rsidRPr="00000000" w14:paraId="000005DF">
            <w:pPr>
              <w:spacing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Fortalezas/oportunidades</w:t>
            </w:r>
          </w:p>
        </w:tc>
      </w:tr>
      <w:tr>
        <w:trPr>
          <w:trHeight w:val="737" w:hRule="atLeast"/>
        </w:trPr>
        <w:tc>
          <w:tcPr>
            <w:shd w:fill="auto" w:val="clear"/>
            <w:vAlign w:val="center"/>
          </w:tcPr>
          <w:p w:rsidR="00000000" w:rsidDel="00000000" w:rsidP="00000000" w:rsidRDefault="00000000" w:rsidRPr="00000000" w14:paraId="000005E0">
            <w:pPr>
              <w:spacing w:line="240" w:lineRule="auto"/>
              <w:ind w:left="113" w:right="113"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Gestión</w:t>
            </w:r>
          </w:p>
        </w:tc>
        <w:tc>
          <w:tcPr>
            <w:shd w:fill="auto" w:val="clear"/>
            <w:vAlign w:val="center"/>
          </w:tcPr>
          <w:p w:rsidR="00000000" w:rsidDel="00000000" w:rsidP="00000000" w:rsidRDefault="00000000" w:rsidRPr="00000000" w14:paraId="000005E1">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-No se cuenta con personal que realice vigilancia y control, se requiere un guardabosque.</w:t>
            </w:r>
          </w:p>
          <w:p w:rsidR="00000000" w:rsidDel="00000000" w:rsidP="00000000" w:rsidRDefault="00000000" w:rsidRPr="00000000" w14:paraId="000005E2">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-Deficiente infraestructura en el área protegida (Kiosco, centro de visitantes).</w:t>
            </w:r>
          </w:p>
          <w:p w:rsidR="00000000" w:rsidDel="00000000" w:rsidP="00000000" w:rsidRDefault="00000000" w:rsidRPr="00000000" w14:paraId="000005E3">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 requiere mayor difusión y reconocimiento del instrumento de planificación del área protegida.</w:t>
            </w:r>
          </w:p>
          <w:p w:rsidR="00000000" w:rsidDel="00000000" w:rsidP="00000000" w:rsidRDefault="00000000" w:rsidRPr="00000000" w14:paraId="000005E4">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 requiere una estrategia de comunicación que permita difundir en todos los actores del municipio la importancia del área protegida.</w:t>
            </w:r>
          </w:p>
          <w:p w:rsidR="00000000" w:rsidDel="00000000" w:rsidP="00000000" w:rsidRDefault="00000000" w:rsidRPr="00000000" w14:paraId="000005E5">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-Ausencia de recorridos de control de autoridades municipales, (CICA).</w:t>
            </w:r>
          </w:p>
          <w:p w:rsidR="00000000" w:rsidDel="00000000" w:rsidP="00000000" w:rsidRDefault="00000000" w:rsidRPr="00000000" w14:paraId="000005E6">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-Ingreso de visitantes sin ningún control.</w:t>
            </w:r>
          </w:p>
        </w:tc>
        <w:tc>
          <w:tcPr>
            <w:shd w:fill="auto" w:val="clear"/>
            <w:vAlign w:val="center"/>
          </w:tcPr>
          <w:p w:rsidR="00000000" w:rsidDel="00000000" w:rsidP="00000000" w:rsidRDefault="00000000" w:rsidRPr="00000000" w14:paraId="000005E7">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-Implementación continúa del plan operativo del área protegida.</w:t>
            </w:r>
          </w:p>
          <w:p w:rsidR="00000000" w:rsidDel="00000000" w:rsidP="00000000" w:rsidRDefault="00000000" w:rsidRPr="00000000" w14:paraId="000005E8">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-Participación en el SIDAP, en articulación con otras áreas protegidas.</w:t>
            </w:r>
          </w:p>
          <w:p w:rsidR="00000000" w:rsidDel="00000000" w:rsidP="00000000" w:rsidRDefault="00000000" w:rsidRPr="00000000" w14:paraId="000005E9">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 cuenta con infraestructura como senderos y mirador, para actividades de turismo de naturaleza.</w:t>
            </w:r>
          </w:p>
          <w:p w:rsidR="00000000" w:rsidDel="00000000" w:rsidP="00000000" w:rsidRDefault="00000000" w:rsidRPr="00000000" w14:paraId="000005EA">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PROCEDAS para el fortalecimiento del área.</w:t>
            </w:r>
          </w:p>
        </w:tc>
      </w:tr>
      <w:tr>
        <w:trPr>
          <w:trHeight w:val="1134" w:hRule="atLeast"/>
        </w:trPr>
        <w:tc>
          <w:tcPr>
            <w:shd w:fill="auto" w:val="clear"/>
            <w:vAlign w:val="center"/>
          </w:tcPr>
          <w:p w:rsidR="00000000" w:rsidDel="00000000" w:rsidP="00000000" w:rsidRDefault="00000000" w:rsidRPr="00000000" w14:paraId="000005EB">
            <w:pPr>
              <w:spacing w:line="240" w:lineRule="auto"/>
              <w:ind w:left="113" w:right="113"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Conservación</w:t>
            </w:r>
          </w:p>
        </w:tc>
        <w:tc>
          <w:tcPr>
            <w:shd w:fill="auto" w:val="clear"/>
            <w:vAlign w:val="center"/>
          </w:tcPr>
          <w:p w:rsidR="00000000" w:rsidDel="00000000" w:rsidP="00000000" w:rsidRDefault="00000000" w:rsidRPr="00000000" w14:paraId="000005EC">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 requiere promover la investigación, especialmente en el grupo de biodiversidad relacionado con la flora.</w:t>
            </w:r>
          </w:p>
          <w:p w:rsidR="00000000" w:rsidDel="00000000" w:rsidP="00000000" w:rsidRDefault="00000000" w:rsidRPr="00000000" w14:paraId="000005ED">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-Expansión de sistemas productivos en los límites del área protegida, con impactos, aunado a la extracción de recursos maderables como estacones. </w:t>
            </w:r>
          </w:p>
          <w:p w:rsidR="00000000" w:rsidDel="00000000" w:rsidP="00000000" w:rsidRDefault="00000000" w:rsidRPr="00000000" w14:paraId="000005EE">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 evidencia en unos casos particulares cacería.</w:t>
            </w:r>
          </w:p>
          <w:p w:rsidR="00000000" w:rsidDel="00000000" w:rsidP="00000000" w:rsidRDefault="00000000" w:rsidRPr="00000000" w14:paraId="000005EF">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Fonts w:ascii="Arial Narrow" w:cs="Arial Narrow" w:eastAsia="Arial Narrow" w:hAnsi="Arial Narrow"/>
                <w:color w:val="000000"/>
                <w:sz w:val="20"/>
                <w:szCs w:val="20"/>
                <w:rtl w:val="0"/>
              </w:rPr>
              <w:t xml:space="preserve"> Fomentar programas de diversificación productiva con criterios de conservación.</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5F0">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-Predios adquiridos por el municipio y gobernación para la conservación.</w:t>
            </w:r>
          </w:p>
          <w:p w:rsidR="00000000" w:rsidDel="00000000" w:rsidP="00000000" w:rsidRDefault="00000000" w:rsidRPr="00000000" w14:paraId="000005F1">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-Paisaje como atractivo natural.</w:t>
            </w:r>
          </w:p>
          <w:p w:rsidR="00000000" w:rsidDel="00000000" w:rsidP="00000000" w:rsidRDefault="00000000" w:rsidRPr="00000000" w14:paraId="000005F2">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-Vestigios arqueológicos, historia, mitos y leyendas.</w:t>
            </w:r>
          </w:p>
          <w:p w:rsidR="00000000" w:rsidDel="00000000" w:rsidP="00000000" w:rsidRDefault="00000000" w:rsidRPr="00000000" w14:paraId="000005F3">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 cuenta con un vivero de especies nativas en el Jardín Botánico, que esta articulado a los procesos de conservación en el área.</w:t>
            </w:r>
          </w:p>
        </w:tc>
      </w:tr>
      <w:tr>
        <w:trPr>
          <w:trHeight w:val="1294" w:hRule="atLeast"/>
        </w:trPr>
        <w:tc>
          <w:tcPr>
            <w:vAlign w:val="center"/>
          </w:tcPr>
          <w:p w:rsidR="00000000" w:rsidDel="00000000" w:rsidP="00000000" w:rsidRDefault="00000000" w:rsidRPr="00000000" w14:paraId="000005F4">
            <w:pPr>
              <w:spacing w:line="240" w:lineRule="auto"/>
              <w:ind w:left="113" w:right="113"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Gobernanza</w:t>
            </w:r>
          </w:p>
        </w:tc>
        <w:tc>
          <w:tcPr>
            <w:shd w:fill="auto" w:val="clear"/>
            <w:vAlign w:val="center"/>
          </w:tcPr>
          <w:p w:rsidR="00000000" w:rsidDel="00000000" w:rsidP="00000000" w:rsidRDefault="00000000" w:rsidRPr="00000000" w14:paraId="000005F5">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 requiere articulación interinstitucional, especialmente con la administración municipal para acompañar procesos de gestión en el área protegida. </w:t>
            </w:r>
          </w:p>
          <w:p w:rsidR="00000000" w:rsidDel="00000000" w:rsidP="00000000" w:rsidRDefault="00000000" w:rsidRPr="00000000" w14:paraId="000005F6">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-Promover capacitaciones que generen mayor apropiación por parte de la comunidad hacia el área protegida y conformación de semilleros con los niños.</w:t>
            </w:r>
          </w:p>
          <w:p w:rsidR="00000000" w:rsidDel="00000000" w:rsidP="00000000" w:rsidRDefault="00000000" w:rsidRPr="00000000" w14:paraId="000005F7">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-No hay sentido de pertenencia por el área protegida.</w:t>
            </w:r>
          </w:p>
          <w:p w:rsidR="00000000" w:rsidDel="00000000" w:rsidP="00000000" w:rsidRDefault="00000000" w:rsidRPr="00000000" w14:paraId="000005F8">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Es necesario crear acuerdos con instituciones como Comité Cafeteros, Umata, Gobernación y Carder, para adelantar proyectos con la comunidad de la zona.</w:t>
            </w:r>
          </w:p>
        </w:tc>
        <w:tc>
          <w:tcPr>
            <w:shd w:fill="auto" w:val="clear"/>
            <w:vAlign w:val="center"/>
          </w:tcPr>
          <w:p w:rsidR="00000000" w:rsidDel="00000000" w:rsidP="00000000" w:rsidRDefault="00000000" w:rsidRPr="00000000" w14:paraId="000005F9">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-Organización ambiental apoyando la gestión en el área protegida.</w:t>
            </w:r>
          </w:p>
          <w:p w:rsidR="00000000" w:rsidDel="00000000" w:rsidP="00000000" w:rsidRDefault="00000000" w:rsidRPr="00000000" w14:paraId="000005FA">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-Jóvenes con intereses conservacionistas y emprendedores</w:t>
            </w:r>
          </w:p>
          <w:p w:rsidR="00000000" w:rsidDel="00000000" w:rsidP="00000000" w:rsidRDefault="00000000" w:rsidRPr="00000000" w14:paraId="000005FB">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-Comunidad aledaña con proceso de sensibilización y educación ambiental.</w:t>
            </w:r>
          </w:p>
          <w:p w:rsidR="00000000" w:rsidDel="00000000" w:rsidP="00000000" w:rsidRDefault="00000000" w:rsidRPr="00000000" w14:paraId="000005FC">
            <w:pPr>
              <w:spacing w:line="240"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-Comunidad vinculad a los procesos de turismo de naturaleza.</w:t>
            </w:r>
          </w:p>
          <w:p w:rsidR="00000000" w:rsidDel="00000000" w:rsidP="00000000" w:rsidRDefault="00000000" w:rsidRPr="00000000" w14:paraId="000005FD">
            <w:pPr>
              <w:spacing w:line="240" w:lineRule="auto"/>
              <w:jc w:val="both"/>
              <w:rPr>
                <w:rFonts w:ascii="Arial Narrow" w:cs="Arial Narrow" w:eastAsia="Arial Narrow" w:hAnsi="Arial Narrow"/>
                <w:color w:val="000000"/>
                <w:sz w:val="20"/>
                <w:szCs w:val="20"/>
              </w:rPr>
            </w:pPr>
            <w:r w:rsidDel="00000000" w:rsidR="00000000" w:rsidRPr="00000000">
              <w:rPr>
                <w:rtl w:val="0"/>
              </w:rPr>
            </w:r>
          </w:p>
        </w:tc>
      </w:tr>
    </w:tbl>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0"/>
          <w:szCs w:val="20"/>
          <w:u w:val="none"/>
          <w:shd w:fill="auto" w:val="clear"/>
          <w:vertAlign w:val="baseline"/>
        </w:rPr>
      </w:pPr>
      <w:bookmarkStart w:colFirst="0" w:colLast="0" w:name="_heading=h.pkwqa1" w:id="81"/>
      <w:bookmarkEnd w:id="81"/>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21. Síntesis Diagnóstica</w:t>
      </w:r>
      <w:r w:rsidDel="00000000" w:rsidR="00000000" w:rsidRPr="00000000">
        <w:rPr>
          <w:rtl w:val="0"/>
        </w:rPr>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Situaciones de Manejo</w:t>
      </w:r>
    </w:p>
    <w:p w:rsidR="00000000" w:rsidDel="00000000" w:rsidP="00000000" w:rsidRDefault="00000000" w:rsidRPr="00000000" w14:paraId="0000060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0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Vigilancia y control, como estrategia para acompañar el ingreso al área protegida y controlar las acciones que afectan el estado de conservación del área protegida.</w:t>
      </w:r>
    </w:p>
    <w:p w:rsidR="00000000" w:rsidDel="00000000" w:rsidP="00000000" w:rsidRDefault="00000000" w:rsidRPr="00000000" w14:paraId="0000060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gobernanza ambiental, como estrategia para articular y fomentar la participación de los diferentes actores locales, comunidad, institucionales y sectoriales en torno a la gestión del área protegida.</w:t>
      </w:r>
    </w:p>
    <w:p w:rsidR="00000000" w:rsidDel="00000000" w:rsidP="00000000" w:rsidRDefault="00000000" w:rsidRPr="00000000" w14:paraId="0000060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Aumentar el conocimiento acerca del área protegida a través del fomento de investigaciones en los diferentes grupos biológicos presentes.</w:t>
      </w:r>
    </w:p>
    <w:p w:rsidR="00000000" w:rsidDel="00000000" w:rsidP="00000000" w:rsidRDefault="00000000" w:rsidRPr="00000000" w14:paraId="000006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Implementar prácticas de sostenibilidad ambiental en los sistemas productivos del área protegida y su zona aledaña, para minimizar los impactos y establecer un programa estratégico que genere motivación y apropiación en los habitantes hacia los procesos de conservación.</w:t>
      </w:r>
    </w:p>
    <w:p w:rsidR="00000000" w:rsidDel="00000000" w:rsidP="00000000" w:rsidRDefault="00000000" w:rsidRPr="00000000" w14:paraId="000006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Resaltar en el área protegida la riqueza arqueológica e histórica del territorio, articulado a un programa de turismo de naturaleza liderado por los actores locales.</w:t>
      </w:r>
    </w:p>
    <w:sectPr>
      <w:headerReference r:id="rId46" w:type="default"/>
      <w:footerReference r:id="rId4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wentieth Century"/>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CORPORACIÓN AUTÓNOMA REGIONAL DE RISARALDA - CARDER</w:t>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Narrow" w:cs="Arial Narrow" w:eastAsia="Arial Narrow" w:hAnsi="Arial Narrow"/>
            <w:b w:val="0"/>
            <w:i w:val="0"/>
            <w:smallCaps w:val="0"/>
            <w:strike w:val="0"/>
            <w:color w:val="0563c1"/>
            <w:sz w:val="20"/>
            <w:szCs w:val="20"/>
            <w:u w:val="single"/>
            <w:shd w:fill="auto" w:val="clear"/>
            <w:vertAlign w:val="baseline"/>
            <w:rtl w:val="0"/>
          </w:rPr>
          <w:t xml:space="preserve">http://abc.finkeros.com/extensiones-de-las-uaf-en-la-regional-del-antiguo-caldas/</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Página WEB consultada el 3 de mayo de 2021.</w:t>
      </w:r>
    </w:p>
  </w:footnote>
  <w:footnote w:id="1">
    <w:p w:rsidR="00000000" w:rsidDel="00000000" w:rsidP="00000000" w:rsidRDefault="00000000" w:rsidRPr="00000000" w14:paraId="00000607">
      <w:pPr>
        <w:spacing w:line="240" w:lineRule="auto"/>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wentieth Century" w:cs="Twentieth Century" w:eastAsia="Twentieth Century" w:hAnsi="Twentieth Century"/>
          <w:color w:val="444041"/>
          <w:sz w:val="20"/>
          <w:szCs w:val="20"/>
          <w:rtl w:val="0"/>
        </w:rPr>
        <w:t xml:space="preserve">Estimación de las reservas actuales (2010) de carbono almacenadas en la biomasa aérea en bosques naturales de Colombia. Estratificación, alometría y métodos análiticos. Instituto de Hidrología, Meteorología, y Estudios Ambientales -IDEAM-. Bogotá D.C</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ÁREA DE RECREACIÓN ALTO DEL REY</w:t>
    </w:r>
    <w:r w:rsidDel="00000000" w:rsidR="00000000" w:rsidRPr="00000000">
      <w:drawing>
        <wp:anchor allowOverlap="1" behindDoc="0" distB="0" distT="0" distL="114300" distR="114300" hidden="0" layoutInCell="1" locked="0" relativeHeight="0" simplePos="0">
          <wp:simplePos x="0" y="0"/>
          <wp:positionH relativeFrom="column">
            <wp:posOffset>5009515</wp:posOffset>
          </wp:positionH>
          <wp:positionV relativeFrom="paragraph">
            <wp:posOffset>-334644</wp:posOffset>
          </wp:positionV>
          <wp:extent cx="602615" cy="842010"/>
          <wp:effectExtent b="0" l="0" r="0" t="0"/>
          <wp:wrapSquare wrapText="bothSides" distB="0" distT="0" distL="114300" distR="114300"/>
          <wp:docPr id="74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02615" cy="842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-239394</wp:posOffset>
          </wp:positionV>
          <wp:extent cx="828675" cy="784674"/>
          <wp:effectExtent b="0" l="0" r="0" t="0"/>
          <wp:wrapNone/>
          <wp:docPr descr="C:\Users\amurillo\Downloads\sidap risaralda-logo (1).jpg" id="747" name="image7.jpg"/>
          <a:graphic>
            <a:graphicData uri="http://schemas.openxmlformats.org/drawingml/2006/picture">
              <pic:pic>
                <pic:nvPicPr>
                  <pic:cNvPr descr="C:\Users\amurillo\Downloads\sidap risaralda-logo (1).jpg" id="0" name="image7.jpg"/>
                  <pic:cNvPicPr preferRelativeResize="0"/>
                </pic:nvPicPr>
                <pic:blipFill>
                  <a:blip r:embed="rId2"/>
                  <a:srcRect b="0" l="0" r="0" t="0"/>
                  <a:stretch>
                    <a:fillRect/>
                  </a:stretch>
                </pic:blipFill>
                <pic:spPr>
                  <a:xfrm>
                    <a:off x="0" y="0"/>
                    <a:ext cx="828675" cy="784674"/>
                  </a:xfrm>
                  <a:prstGeom prst="rect"/>
                  <a:ln/>
                </pic:spPr>
              </pic:pic>
            </a:graphicData>
          </a:graphic>
        </wp:anchor>
      </w:drawing>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MANEJO 2021 – 2026</w:t>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COMPONENTE DIAGNÓSTICO</w:t>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76" w:hanging="360.00000000000006"/>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CA0F9C"/>
    <w:pPr>
      <w:spacing w:after="0" w:line="276" w:lineRule="auto"/>
    </w:pPr>
    <w:rPr>
      <w:rFonts w:ascii="Arial" w:cs="Arial" w:eastAsia="Arial" w:hAnsi="Arial"/>
      <w:lang w:val="es"/>
    </w:rPr>
  </w:style>
  <w:style w:type="paragraph" w:styleId="Ttulo1">
    <w:name w:val="heading 1"/>
    <w:basedOn w:val="Normal"/>
    <w:next w:val="Normal"/>
    <w:link w:val="Ttulo1Car"/>
    <w:uiPriority w:val="9"/>
    <w:qFormat w:val="1"/>
    <w:rsid w:val="000C2D56"/>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iPriority w:val="9"/>
    <w:unhideWhenUsed w:val="1"/>
    <w:qFormat w:val="1"/>
    <w:rsid w:val="000C2D56"/>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uiPriority w:val="9"/>
    <w:unhideWhenUsed w:val="1"/>
    <w:qFormat w:val="1"/>
    <w:rsid w:val="000C2D56"/>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paragraph" w:styleId="Ttulo4">
    <w:name w:val="heading 4"/>
    <w:basedOn w:val="Normal"/>
    <w:next w:val="Normal"/>
    <w:link w:val="Ttulo4Car"/>
    <w:uiPriority w:val="9"/>
    <w:unhideWhenUsed w:val="1"/>
    <w:qFormat w:val="1"/>
    <w:rsid w:val="000C2D56"/>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uiPriority w:val="9"/>
    <w:unhideWhenUsed w:val="1"/>
    <w:qFormat w:val="1"/>
    <w:rsid w:val="000C2D56"/>
    <w:pPr>
      <w:keepNext w:val="1"/>
      <w:keepLines w:val="1"/>
      <w:spacing w:before="40"/>
      <w:outlineLvl w:val="4"/>
    </w:pPr>
    <w:rPr>
      <w:rFonts w:asciiTheme="majorHAnsi" w:cstheme="majorBidi" w:eastAsiaTheme="majorEastAsia" w:hAnsiTheme="majorHAnsi"/>
      <w:color w:val="2e74b5"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stilo1" w:customStyle="1">
    <w:name w:val="Estilo1"/>
    <w:basedOn w:val="Normal"/>
    <w:link w:val="Estilo1Car"/>
    <w:qFormat w:val="1"/>
    <w:rsid w:val="000C26FF"/>
    <w:pPr>
      <w:widowControl w:val="0"/>
      <w:spacing w:after="100" w:before="100" w:line="240" w:lineRule="auto"/>
      <w:jc w:val="both"/>
    </w:pPr>
    <w:rPr>
      <w:rFonts w:ascii="Arial Narrow" w:cs="Times New Roman" w:eastAsia="Cambria" w:hAnsi="Arial Narrow"/>
      <w:b w:val="1"/>
      <w:color w:val="000000"/>
      <w:sz w:val="24"/>
      <w:szCs w:val="24"/>
      <w:lang w:eastAsia="es-ES" w:val="es-ES"/>
    </w:rPr>
  </w:style>
  <w:style w:type="character" w:styleId="Estilo1Car" w:customStyle="1">
    <w:name w:val="Estilo1 Car"/>
    <w:link w:val="Estilo1"/>
    <w:rsid w:val="000C26FF"/>
    <w:rPr>
      <w:rFonts w:ascii="Arial Narrow" w:cs="Times New Roman" w:eastAsia="Cambria" w:hAnsi="Arial Narrow"/>
      <w:b w:val="1"/>
      <w:color w:val="000000"/>
      <w:sz w:val="24"/>
      <w:szCs w:val="24"/>
      <w:lang w:eastAsia="es-ES" w:val="es-ES"/>
    </w:rPr>
  </w:style>
  <w:style w:type="table" w:styleId="Tablaconcuadrcula">
    <w:name w:val="Table Grid"/>
    <w:basedOn w:val="Tablanormal"/>
    <w:uiPriority w:val="39"/>
    <w:rsid w:val="007862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aliases w:val="Bolita,Viñetas"/>
    <w:basedOn w:val="Normal"/>
    <w:link w:val="PrrafodelistaCar"/>
    <w:uiPriority w:val="34"/>
    <w:qFormat w:val="1"/>
    <w:rsid w:val="00C62CB8"/>
    <w:pPr>
      <w:ind w:left="720"/>
      <w:contextualSpacing w:val="1"/>
    </w:pPr>
  </w:style>
  <w:style w:type="paragraph" w:styleId="Encabezado">
    <w:name w:val="header"/>
    <w:basedOn w:val="Normal"/>
    <w:link w:val="EncabezadoCar"/>
    <w:uiPriority w:val="99"/>
    <w:unhideWhenUsed w:val="1"/>
    <w:rsid w:val="00D405A9"/>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D405A9"/>
    <w:rPr>
      <w:rFonts w:ascii="Arial" w:cs="Arial" w:eastAsia="Arial" w:hAnsi="Arial"/>
      <w:lang w:val="es"/>
    </w:rPr>
  </w:style>
  <w:style w:type="paragraph" w:styleId="Piedepgina">
    <w:name w:val="footer"/>
    <w:basedOn w:val="Normal"/>
    <w:link w:val="PiedepginaCar"/>
    <w:uiPriority w:val="99"/>
    <w:unhideWhenUsed w:val="1"/>
    <w:rsid w:val="00D405A9"/>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D405A9"/>
    <w:rPr>
      <w:rFonts w:ascii="Arial" w:cs="Arial" w:eastAsia="Arial" w:hAnsi="Arial"/>
      <w:lang w:val="es"/>
    </w:rPr>
  </w:style>
  <w:style w:type="paragraph" w:styleId="Textonotapie">
    <w:name w:val="footnote text"/>
    <w:basedOn w:val="Normal"/>
    <w:link w:val="TextonotapieCar"/>
    <w:uiPriority w:val="99"/>
    <w:semiHidden w:val="1"/>
    <w:unhideWhenUsed w:val="1"/>
    <w:rsid w:val="00FB69CC"/>
    <w:pPr>
      <w:spacing w:line="240" w:lineRule="auto"/>
    </w:pPr>
    <w:rPr>
      <w:rFonts w:asciiTheme="minorHAnsi" w:cstheme="minorBidi" w:eastAsiaTheme="minorHAnsi" w:hAnsiTheme="minorHAnsi"/>
      <w:sz w:val="20"/>
      <w:szCs w:val="20"/>
      <w:lang w:val="es-CO"/>
    </w:rPr>
  </w:style>
  <w:style w:type="character" w:styleId="TextonotapieCar" w:customStyle="1">
    <w:name w:val="Texto nota pie Car"/>
    <w:basedOn w:val="Fuentedeprrafopredeter"/>
    <w:link w:val="Textonotapie"/>
    <w:uiPriority w:val="99"/>
    <w:semiHidden w:val="1"/>
    <w:rsid w:val="00FB69CC"/>
    <w:rPr>
      <w:sz w:val="20"/>
      <w:szCs w:val="20"/>
      <w:lang w:val="es-CO"/>
    </w:rPr>
  </w:style>
  <w:style w:type="character" w:styleId="Refdenotaalpie">
    <w:name w:val="footnote reference"/>
    <w:basedOn w:val="Fuentedeprrafopredeter"/>
    <w:uiPriority w:val="99"/>
    <w:semiHidden w:val="1"/>
    <w:unhideWhenUsed w:val="1"/>
    <w:rsid w:val="00FB69CC"/>
    <w:rPr>
      <w:vertAlign w:val="superscript"/>
    </w:rPr>
  </w:style>
  <w:style w:type="paragraph" w:styleId="NormalWeb">
    <w:name w:val="Normal (Web)"/>
    <w:basedOn w:val="Normal"/>
    <w:uiPriority w:val="99"/>
    <w:semiHidden w:val="1"/>
    <w:unhideWhenUsed w:val="1"/>
    <w:rsid w:val="00FB69CC"/>
    <w:pPr>
      <w:spacing w:after="100" w:afterAutospacing="1" w:before="100" w:beforeAutospacing="1" w:line="240" w:lineRule="auto"/>
    </w:pPr>
    <w:rPr>
      <w:rFonts w:ascii="Times New Roman" w:cs="Times New Roman" w:eastAsia="Times New Roman" w:hAnsi="Times New Roman"/>
      <w:sz w:val="24"/>
      <w:szCs w:val="24"/>
      <w:lang w:eastAsia="es-CO" w:val="es-CO"/>
    </w:rPr>
  </w:style>
  <w:style w:type="character" w:styleId="Hipervnculo">
    <w:name w:val="Hyperlink"/>
    <w:basedOn w:val="Fuentedeprrafopredeter"/>
    <w:uiPriority w:val="99"/>
    <w:unhideWhenUsed w:val="1"/>
    <w:rsid w:val="00FB69CC"/>
    <w:rPr>
      <w:color w:val="0563c1" w:themeColor="hyperlink"/>
      <w:u w:val="single"/>
    </w:rPr>
  </w:style>
  <w:style w:type="paragraph" w:styleId="Descripcin">
    <w:name w:val="caption"/>
    <w:aliases w:val="Car Car Car,Car Car,Epígrafe Car,Tablas"/>
    <w:basedOn w:val="Normal"/>
    <w:next w:val="Normal"/>
    <w:link w:val="DescripcinCar"/>
    <w:uiPriority w:val="35"/>
    <w:unhideWhenUsed w:val="1"/>
    <w:qFormat w:val="1"/>
    <w:rsid w:val="0061606D"/>
    <w:pPr>
      <w:spacing w:after="200" w:line="240" w:lineRule="auto"/>
    </w:pPr>
    <w:rPr>
      <w:i w:val="1"/>
      <w:iCs w:val="1"/>
      <w:color w:val="44546a" w:themeColor="text2"/>
      <w:sz w:val="18"/>
      <w:szCs w:val="18"/>
    </w:rPr>
  </w:style>
  <w:style w:type="character" w:styleId="DescripcinCar" w:customStyle="1">
    <w:name w:val="Descripción Car"/>
    <w:aliases w:val="Car Car Car Car,Car Car Car1,Epígrafe Car Car,Tablas Car"/>
    <w:link w:val="Descripcin"/>
    <w:uiPriority w:val="35"/>
    <w:locked w:val="1"/>
    <w:rsid w:val="0061606D"/>
    <w:rPr>
      <w:rFonts w:ascii="Arial" w:cs="Arial" w:eastAsia="Arial" w:hAnsi="Arial"/>
      <w:i w:val="1"/>
      <w:iCs w:val="1"/>
      <w:color w:val="44546a" w:themeColor="text2"/>
      <w:sz w:val="18"/>
      <w:szCs w:val="18"/>
      <w:lang w:val="es"/>
    </w:rPr>
  </w:style>
  <w:style w:type="character" w:styleId="PrrafodelistaCar" w:customStyle="1">
    <w:name w:val="Párrafo de lista Car"/>
    <w:aliases w:val="Bolita Car,Viñetas Car"/>
    <w:link w:val="Prrafodelista"/>
    <w:uiPriority w:val="34"/>
    <w:rsid w:val="0061606D"/>
    <w:rPr>
      <w:rFonts w:ascii="Arial" w:cs="Arial" w:eastAsia="Arial" w:hAnsi="Arial"/>
      <w:lang w:val="es"/>
    </w:rPr>
  </w:style>
  <w:style w:type="paragraph" w:styleId="Textoindependiente3">
    <w:name w:val="Body Text 3"/>
    <w:basedOn w:val="Normal"/>
    <w:link w:val="Textoindependiente3Car"/>
    <w:semiHidden w:val="1"/>
    <w:rsid w:val="008E30B5"/>
    <w:pPr>
      <w:spacing w:after="120" w:line="240" w:lineRule="auto"/>
    </w:pPr>
    <w:rPr>
      <w:rFonts w:ascii="Times New Roman" w:cs="Times New Roman" w:eastAsia="Times New Roman" w:hAnsi="Times New Roman"/>
      <w:sz w:val="16"/>
      <w:szCs w:val="16"/>
      <w:lang w:eastAsia="es-ES" w:val="es-ES"/>
    </w:rPr>
  </w:style>
  <w:style w:type="character" w:styleId="Textoindependiente3Car" w:customStyle="1">
    <w:name w:val="Texto independiente 3 Car"/>
    <w:basedOn w:val="Fuentedeprrafopredeter"/>
    <w:link w:val="Textoindependiente3"/>
    <w:semiHidden w:val="1"/>
    <w:rsid w:val="008E30B5"/>
    <w:rPr>
      <w:rFonts w:ascii="Times New Roman" w:cs="Times New Roman" w:eastAsia="Times New Roman" w:hAnsi="Times New Roman"/>
      <w:sz w:val="16"/>
      <w:szCs w:val="16"/>
      <w:lang w:eastAsia="es-ES" w:val="es-ES"/>
    </w:rPr>
  </w:style>
  <w:style w:type="paragraph" w:styleId="Default" w:customStyle="1">
    <w:name w:val="Default"/>
    <w:rsid w:val="008828F0"/>
    <w:pPr>
      <w:autoSpaceDE w:val="0"/>
      <w:autoSpaceDN w:val="0"/>
      <w:adjustRightInd w:val="0"/>
      <w:spacing w:after="0" w:line="240" w:lineRule="auto"/>
    </w:pPr>
    <w:rPr>
      <w:rFonts w:ascii="Arial" w:cs="Arial" w:hAnsi="Arial"/>
      <w:color w:val="000000"/>
      <w:sz w:val="24"/>
      <w:szCs w:val="24"/>
    </w:rPr>
  </w:style>
  <w:style w:type="character" w:styleId="Ttulo1Car" w:customStyle="1">
    <w:name w:val="Título 1 Car"/>
    <w:basedOn w:val="Fuentedeprrafopredeter"/>
    <w:link w:val="Ttulo1"/>
    <w:uiPriority w:val="9"/>
    <w:rsid w:val="000C2D56"/>
    <w:rPr>
      <w:rFonts w:asciiTheme="majorHAnsi" w:cstheme="majorBidi" w:eastAsiaTheme="majorEastAsia" w:hAnsiTheme="majorHAnsi"/>
      <w:color w:val="2e74b5" w:themeColor="accent1" w:themeShade="0000BF"/>
      <w:sz w:val="32"/>
      <w:szCs w:val="32"/>
      <w:lang w:val="es"/>
    </w:rPr>
  </w:style>
  <w:style w:type="character" w:styleId="Ttulo2Car" w:customStyle="1">
    <w:name w:val="Título 2 Car"/>
    <w:basedOn w:val="Fuentedeprrafopredeter"/>
    <w:link w:val="Ttulo2"/>
    <w:uiPriority w:val="9"/>
    <w:rsid w:val="000C2D56"/>
    <w:rPr>
      <w:rFonts w:asciiTheme="majorHAnsi" w:cstheme="majorBidi" w:eastAsiaTheme="majorEastAsia" w:hAnsiTheme="majorHAnsi"/>
      <w:color w:val="2e74b5" w:themeColor="accent1" w:themeShade="0000BF"/>
      <w:sz w:val="26"/>
      <w:szCs w:val="26"/>
      <w:lang w:val="es"/>
    </w:rPr>
  </w:style>
  <w:style w:type="character" w:styleId="Ttulo3Car" w:customStyle="1">
    <w:name w:val="Título 3 Car"/>
    <w:basedOn w:val="Fuentedeprrafopredeter"/>
    <w:link w:val="Ttulo3"/>
    <w:uiPriority w:val="9"/>
    <w:rsid w:val="000C2D56"/>
    <w:rPr>
      <w:rFonts w:asciiTheme="majorHAnsi" w:cstheme="majorBidi" w:eastAsiaTheme="majorEastAsia" w:hAnsiTheme="majorHAnsi"/>
      <w:color w:val="1f4d78" w:themeColor="accent1" w:themeShade="00007F"/>
      <w:sz w:val="24"/>
      <w:szCs w:val="24"/>
      <w:lang w:val="es"/>
    </w:rPr>
  </w:style>
  <w:style w:type="character" w:styleId="Ttulo4Car" w:customStyle="1">
    <w:name w:val="Título 4 Car"/>
    <w:basedOn w:val="Fuentedeprrafopredeter"/>
    <w:link w:val="Ttulo4"/>
    <w:uiPriority w:val="9"/>
    <w:rsid w:val="000C2D56"/>
    <w:rPr>
      <w:rFonts w:asciiTheme="majorHAnsi" w:cstheme="majorBidi" w:eastAsiaTheme="majorEastAsia" w:hAnsiTheme="majorHAnsi"/>
      <w:i w:val="1"/>
      <w:iCs w:val="1"/>
      <w:color w:val="2e74b5" w:themeColor="accent1" w:themeShade="0000BF"/>
      <w:lang w:val="es"/>
    </w:rPr>
  </w:style>
  <w:style w:type="character" w:styleId="Ttulo5Car" w:customStyle="1">
    <w:name w:val="Título 5 Car"/>
    <w:basedOn w:val="Fuentedeprrafopredeter"/>
    <w:link w:val="Ttulo5"/>
    <w:uiPriority w:val="9"/>
    <w:rsid w:val="000C2D56"/>
    <w:rPr>
      <w:rFonts w:asciiTheme="majorHAnsi" w:cstheme="majorBidi" w:eastAsiaTheme="majorEastAsia" w:hAnsiTheme="majorHAnsi"/>
      <w:color w:val="2e74b5" w:themeColor="accent1" w:themeShade="0000BF"/>
      <w:lang w:val="es"/>
    </w:rPr>
  </w:style>
  <w:style w:type="paragraph" w:styleId="TtuloTDC">
    <w:name w:val="TOC Heading"/>
    <w:basedOn w:val="Ttulo1"/>
    <w:next w:val="Normal"/>
    <w:uiPriority w:val="39"/>
    <w:unhideWhenUsed w:val="1"/>
    <w:qFormat w:val="1"/>
    <w:rsid w:val="00C4093E"/>
    <w:pPr>
      <w:spacing w:line="259" w:lineRule="auto"/>
      <w:outlineLvl w:val="9"/>
    </w:pPr>
    <w:rPr>
      <w:lang w:val="en-US"/>
    </w:rPr>
  </w:style>
  <w:style w:type="paragraph" w:styleId="TDC1">
    <w:name w:val="toc 1"/>
    <w:basedOn w:val="Normal"/>
    <w:next w:val="Normal"/>
    <w:autoRedefine w:val="1"/>
    <w:uiPriority w:val="39"/>
    <w:unhideWhenUsed w:val="1"/>
    <w:rsid w:val="00C4093E"/>
    <w:pPr>
      <w:spacing w:after="100"/>
    </w:pPr>
  </w:style>
  <w:style w:type="paragraph" w:styleId="TDC2">
    <w:name w:val="toc 2"/>
    <w:basedOn w:val="Normal"/>
    <w:next w:val="Normal"/>
    <w:autoRedefine w:val="1"/>
    <w:uiPriority w:val="39"/>
    <w:unhideWhenUsed w:val="1"/>
    <w:rsid w:val="00C4093E"/>
    <w:pPr>
      <w:spacing w:after="100"/>
      <w:ind w:left="220"/>
    </w:pPr>
  </w:style>
  <w:style w:type="paragraph" w:styleId="TDC3">
    <w:name w:val="toc 3"/>
    <w:basedOn w:val="Normal"/>
    <w:next w:val="Normal"/>
    <w:autoRedefine w:val="1"/>
    <w:uiPriority w:val="39"/>
    <w:unhideWhenUsed w:val="1"/>
    <w:rsid w:val="00C4093E"/>
    <w:pPr>
      <w:spacing w:after="100"/>
      <w:ind w:left="440"/>
    </w:pPr>
  </w:style>
  <w:style w:type="paragraph" w:styleId="Tabladeilustraciones">
    <w:name w:val="table of figures"/>
    <w:basedOn w:val="Normal"/>
    <w:next w:val="Normal"/>
    <w:uiPriority w:val="99"/>
    <w:unhideWhenUsed w:val="1"/>
    <w:rsid w:val="002E1842"/>
    <w:rPr>
      <w:rFonts w:ascii="Arial Narrow" w:hAnsi="Arial Narrow"/>
      <w:sz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chart" Target="charts/chart3.xml"/><Relationship Id="rId20" Type="http://schemas.openxmlformats.org/officeDocument/2006/relationships/image" Target="media/image11.jpg"/><Relationship Id="rId42" Type="http://schemas.openxmlformats.org/officeDocument/2006/relationships/chart" Target="charts/chart5.xml"/><Relationship Id="rId41" Type="http://schemas.openxmlformats.org/officeDocument/2006/relationships/chart" Target="charts/chart4.xml"/><Relationship Id="rId22" Type="http://schemas.openxmlformats.org/officeDocument/2006/relationships/chart" Target="charts/chart18.xml"/><Relationship Id="rId44" Type="http://schemas.openxmlformats.org/officeDocument/2006/relationships/chart" Target="charts/chart7.xml"/><Relationship Id="rId21" Type="http://schemas.openxmlformats.org/officeDocument/2006/relationships/image" Target="media/image21.png"/><Relationship Id="rId43" Type="http://schemas.openxmlformats.org/officeDocument/2006/relationships/chart" Target="charts/chart6.xml"/><Relationship Id="rId24" Type="http://schemas.openxmlformats.org/officeDocument/2006/relationships/image" Target="media/image20.jpg"/><Relationship Id="rId46" Type="http://schemas.openxmlformats.org/officeDocument/2006/relationships/header" Target="header1.xml"/><Relationship Id="rId23" Type="http://schemas.openxmlformats.org/officeDocument/2006/relationships/image" Target="media/image3.jpg"/><Relationship Id="rId45" Type="http://schemas.openxmlformats.org/officeDocument/2006/relationships/chart" Target="charts/chart8.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jpg"/><Relationship Id="rId26" Type="http://schemas.openxmlformats.org/officeDocument/2006/relationships/image" Target="media/image10.jpg"/><Relationship Id="rId25" Type="http://schemas.openxmlformats.org/officeDocument/2006/relationships/image" Target="media/image18.jpg"/><Relationship Id="rId47" Type="http://schemas.openxmlformats.org/officeDocument/2006/relationships/footer" Target="footer1.xml"/><Relationship Id="rId28" Type="http://schemas.openxmlformats.org/officeDocument/2006/relationships/chart" Target="charts/chart9.xml"/><Relationship Id="rId27" Type="http://schemas.openxmlformats.org/officeDocument/2006/relationships/chart" Target="charts/chart19.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chart" Target="charts/chart10.xml"/><Relationship Id="rId7" Type="http://schemas.openxmlformats.org/officeDocument/2006/relationships/customXml" Target="../customXML/item1.xml"/><Relationship Id="rId8" Type="http://schemas.openxmlformats.org/officeDocument/2006/relationships/image" Target="media/image8.jpg"/><Relationship Id="rId31" Type="http://schemas.openxmlformats.org/officeDocument/2006/relationships/image" Target="media/image4.jpg"/><Relationship Id="rId30" Type="http://schemas.openxmlformats.org/officeDocument/2006/relationships/image" Target="media/image16.jpg"/><Relationship Id="rId11" Type="http://schemas.openxmlformats.org/officeDocument/2006/relationships/chart" Target="charts/chart15.xml"/><Relationship Id="rId33" Type="http://schemas.openxmlformats.org/officeDocument/2006/relationships/image" Target="media/image12.jpg"/><Relationship Id="rId10" Type="http://schemas.openxmlformats.org/officeDocument/2006/relationships/chart" Target="charts/chart13.xml"/><Relationship Id="rId32" Type="http://schemas.openxmlformats.org/officeDocument/2006/relationships/image" Target="media/image1.jpg"/><Relationship Id="rId13" Type="http://schemas.openxmlformats.org/officeDocument/2006/relationships/chart" Target="charts/chart17.xml"/><Relationship Id="rId35" Type="http://schemas.openxmlformats.org/officeDocument/2006/relationships/image" Target="media/image19.jpg"/><Relationship Id="rId12" Type="http://schemas.openxmlformats.org/officeDocument/2006/relationships/chart" Target="charts/chart14.xml"/><Relationship Id="rId34" Type="http://schemas.openxmlformats.org/officeDocument/2006/relationships/image" Target="media/image13.jpg"/><Relationship Id="rId15" Type="http://schemas.openxmlformats.org/officeDocument/2006/relationships/image" Target="media/image17.png"/><Relationship Id="rId37" Type="http://schemas.openxmlformats.org/officeDocument/2006/relationships/chart" Target="charts/chart12.xml"/><Relationship Id="rId14" Type="http://schemas.openxmlformats.org/officeDocument/2006/relationships/chart" Target="charts/chart16.xml"/><Relationship Id="rId36" Type="http://schemas.openxmlformats.org/officeDocument/2006/relationships/chart" Target="charts/chart11.xml"/><Relationship Id="rId17" Type="http://schemas.openxmlformats.org/officeDocument/2006/relationships/image" Target="media/image15.png"/><Relationship Id="rId39" Type="http://schemas.openxmlformats.org/officeDocument/2006/relationships/chart" Target="charts/chart2.xml"/><Relationship Id="rId16" Type="http://schemas.openxmlformats.org/officeDocument/2006/relationships/image" Target="media/image14.png"/><Relationship Id="rId38" Type="http://schemas.openxmlformats.org/officeDocument/2006/relationships/chart" Target="charts/chart1.xml"/><Relationship Id="rId19" Type="http://schemas.openxmlformats.org/officeDocument/2006/relationships/image" Target="media/image5.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WEED\Desktop\Docuemntos_PM%2026%20abril%20ultimo\EFECTIVIDAD_FINAL_REVISADO\Herramienta%20de%20efectividad%20&#225;reas%20regionalesAR_Alto%20Rey201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C:\Mis%20Documentos\CARDER_2020_15_Dic\Documentos%20PLAN%20MANEJO_Mgta\Diagnostico\Inversiones\Inversiones%20AP%20y%20otras_Graficas%20Marzo14_2019.xlsx"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C:\Mis%20Documentos\CARDER_2019\OrdenameintoPlanesManejo\Identificaci&#243;n%20Presiones\PresionesAP_PM_Diciembre%202019.xlsx" TargetMode="External"/></Relationships>
</file>

<file path=word/charts/_rels/chart13.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D:\31%20de%20marzo\ModeloGraficas_AltorerRey.xlsx"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D:\31%20de%20marzo\ModeloGraficas_AltorerRey.xlsx" TargetMode="Externa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D:\31%20de%20marzo\ModeloGraficas_AltorerRey.xlsx"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C:\Users\WEED\Downloads\ModeloGraficas\ModeloGraficas_AltorerRey%20(10%20Mayo).xlsx" TargetMode="External"/></Relationships>
</file>

<file path=word/charts/_rels/chart17.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C:\Users\WEED\Downloads\ModeloGraficas\ModeloGraficas_AltorerRey%20(31%20Marzo).xlsx" TargetMode="External"/></Relationships>
</file>

<file path=word/charts/_rels/chart18.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C:\Mis%20Documentos\CARDER_2020_Marzo10\Documentos%20PLAN%20MANEJO_Mgta\Diagnostico\Biodiversidad\GraficasBiodiversidad_Corregidas\AltoRe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AltoRey.xls"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WEED\Desktop\Docuemntos_PM%2026%20abril%20ultimo\EFECTIVIDAD_FINAL_REVISADO\Herramienta%20de%20efectividad%20&#225;reas%20regionalesAR_Alto%20Rey2019.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WEED\Desktop\Docuemntos_PM%2026%20abril%20ultimo\EFECTIVIDAD_FINAL_REVISADO\Herramienta%20de%20efectividad%20&#225;reas%20regionalesAR_Alto%20Rey2019.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WEED\Desktop\Docuemntos_PM%2026%20abril%20ultimo\EFECTIVIDAD_FINAL_REVISADO\Herramienta%20de%20efectividad%20&#225;reas%20regionalesAR_Alto%20Rey2019.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WEED\Desktop\Docuemntos_PM%2026%20abril%20ultimo\EFECTIVIDAD_FINAL_REVISADO\Herramienta%20de%20efectividad%20&#225;reas%20regionalesAR_Alto%20Rey2019.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C:\Users\WEED\Desktop\Docuemntos_PM%2026%20abril%20ultimo\EFECTIVIDAD_FINAL_REVISADO\Herramienta%20de%20efectividad%20&#225;reas%20regionalesAR_Alto%20Rey2019.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C:\Users\WEED\Desktop\Docuemntos_PM%2026%20abril%20ultimo\EFECTIVIDAD_FINAL_REVISADO\Herramienta%20de%20efectividad%20&#225;reas%20regionalesAR_Alto%20Rey2019.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C:\Users\WEED\Desktop\Docuemntos_PM%2026%20abril%20ultimo\EFECTIVIDAD_FINAL_REVISADO\Herramienta%20de%20efectividad%20&#225;reas%20regionalesAR_Alto%20Rey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AltoRe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5441366142216"/>
          <c:y val="6.55512932678287E-2"/>
          <c:w val="0.53450655482686082"/>
          <c:h val="0.87485474572088751"/>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4E8-4D31-B415-BCFBB87003A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4E8-4D31-B415-BCFBB87003A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0.7543981481481481</c:v>
                </c:pt>
                <c:pt idx="1">
                  <c:v>0.2456018518518519</c:v>
                </c:pt>
              </c:numCache>
            </c:numRef>
          </c:val>
          <c:extLst>
            <c:ext xmlns:c16="http://schemas.microsoft.com/office/drawing/2014/chart" uri="{C3380CC4-5D6E-409C-BE32-E72D297353CC}">
              <c16:uniqueId val="{00000004-F4E8-4D31-B415-BCFBB87003A8}"/>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Narrow" panose="020B0606020202030204" pitchFamily="34" charset="0"/>
              </a:defRPr>
            </a:pPr>
            <a:r>
              <a:rPr lang="es-CO" sz="1000" b="1" i="0" baseline="0">
                <a:effectLst/>
                <a:latin typeface="Arial Narrow" panose="020B0606020202030204" pitchFamily="34" charset="0"/>
              </a:rPr>
              <a:t>Rango entre 71 a 90. Calidad: Buena</a:t>
            </a:r>
            <a:endParaRPr lang="en-US" sz="1000">
              <a:effectLst/>
              <a:latin typeface="Arial Narrow" panose="020B0606020202030204" pitchFamily="34" charset="0"/>
            </a:endParaRPr>
          </a:p>
        </c:rich>
      </c:tx>
      <c:layout>
        <c:manualLayout>
          <c:xMode val="edge"/>
          <c:yMode val="edge"/>
          <c:x val="0.3199813356663751"/>
          <c:y val="2.1505376344086023E-2"/>
        </c:manualLayout>
      </c:layout>
      <c:overlay val="0"/>
    </c:title>
    <c:autoTitleDeleted val="0"/>
    <c:view3D>
      <c:rotX val="15"/>
      <c:rotY val="10"/>
      <c:depthPercent val="100"/>
      <c:rAngAx val="1"/>
    </c:view3D>
    <c:floor>
      <c:thickness val="0"/>
    </c:floor>
    <c:sideWall>
      <c:thickness val="0"/>
    </c:sideWall>
    <c:backWall>
      <c:thickness val="0"/>
    </c:backWall>
    <c:plotArea>
      <c:layout>
        <c:manualLayout>
          <c:layoutTarget val="inner"/>
          <c:xMode val="edge"/>
          <c:yMode val="edge"/>
          <c:x val="8.0102913133910839E-2"/>
          <c:y val="9.5946591785279603E-2"/>
          <c:w val="0.89551861572858948"/>
          <c:h val="0.67912623825247642"/>
        </c:manualLayout>
      </c:layout>
      <c:bar3DChart>
        <c:barDir val="col"/>
        <c:grouping val="clustered"/>
        <c:varyColors val="0"/>
        <c:ser>
          <c:idx val="0"/>
          <c:order val="0"/>
          <c:invertIfNegative val="0"/>
          <c:cat>
            <c:strRef>
              <c:f>AltoReyQGranatalLaBedoya!$A$1:$S$1</c:f>
              <c:strCache>
                <c:ptCount val="19"/>
                <c:pt idx="0">
                  <c:v>02/06/2010</c:v>
                </c:pt>
                <c:pt idx="1">
                  <c:v>14/09/2010</c:v>
                </c:pt>
                <c:pt idx="2">
                  <c:v>26/04/2011</c:v>
                </c:pt>
                <c:pt idx="3">
                  <c:v>04/08/2011</c:v>
                </c:pt>
                <c:pt idx="4">
                  <c:v>22/11/2011</c:v>
                </c:pt>
                <c:pt idx="5">
                  <c:v>10/04/2012</c:v>
                </c:pt>
                <c:pt idx="6">
                  <c:v>15/08/.2012</c:v>
                </c:pt>
                <c:pt idx="7">
                  <c:v>18/02/2013</c:v>
                </c:pt>
                <c:pt idx="8">
                  <c:v>25/09/2013</c:v>
                </c:pt>
                <c:pt idx="9">
                  <c:v>10/04/2014</c:v>
                </c:pt>
                <c:pt idx="10">
                  <c:v>12/12/2014</c:v>
                </c:pt>
                <c:pt idx="11">
                  <c:v>03/06/2015</c:v>
                </c:pt>
                <c:pt idx="12">
                  <c:v>28/09/2015</c:v>
                </c:pt>
                <c:pt idx="13">
                  <c:v>16/11/2016</c:v>
                </c:pt>
                <c:pt idx="14">
                  <c:v>01/08/2016</c:v>
                </c:pt>
                <c:pt idx="15">
                  <c:v>09/05/2017</c:v>
                </c:pt>
                <c:pt idx="16">
                  <c:v>06/09/2017</c:v>
                </c:pt>
                <c:pt idx="17">
                  <c:v>23/08/2018</c:v>
                </c:pt>
                <c:pt idx="18">
                  <c:v>06/12/2018</c:v>
                </c:pt>
              </c:strCache>
            </c:strRef>
          </c:cat>
          <c:val>
            <c:numRef>
              <c:f>AltoReyQGranatalLaBedoya!$A$2:$S$2</c:f>
              <c:numCache>
                <c:formatCode>0_)</c:formatCode>
                <c:ptCount val="19"/>
                <c:pt idx="0">
                  <c:v>82.666999801991167</c:v>
                </c:pt>
                <c:pt idx="1">
                  <c:v>82.745733924306407</c:v>
                </c:pt>
                <c:pt idx="2">
                  <c:v>80.394223929037764</c:v>
                </c:pt>
                <c:pt idx="3">
                  <c:v>75.452430405083206</c:v>
                </c:pt>
                <c:pt idx="4">
                  <c:v>77.024832045653966</c:v>
                </c:pt>
                <c:pt idx="5">
                  <c:v>76.194601281213181</c:v>
                </c:pt>
                <c:pt idx="6">
                  <c:v>72.234042706953687</c:v>
                </c:pt>
                <c:pt idx="7">
                  <c:v>78.966000129875212</c:v>
                </c:pt>
                <c:pt idx="8">
                  <c:v>82.759126767902032</c:v>
                </c:pt>
                <c:pt idx="9">
                  <c:v>81.308676020646445</c:v>
                </c:pt>
                <c:pt idx="10">
                  <c:v>84.889494919693007</c:v>
                </c:pt>
                <c:pt idx="11">
                  <c:v>84.454065130903217</c:v>
                </c:pt>
                <c:pt idx="12">
                  <c:v>80.239656838835728</c:v>
                </c:pt>
                <c:pt idx="13">
                  <c:v>82</c:v>
                </c:pt>
                <c:pt idx="14" formatCode="General">
                  <c:v>73</c:v>
                </c:pt>
                <c:pt idx="15" formatCode="General">
                  <c:v>83</c:v>
                </c:pt>
                <c:pt idx="16" formatCode="General">
                  <c:v>79</c:v>
                </c:pt>
                <c:pt idx="17" formatCode="General">
                  <c:v>75</c:v>
                </c:pt>
                <c:pt idx="18" formatCode="General">
                  <c:v>84</c:v>
                </c:pt>
              </c:numCache>
            </c:numRef>
          </c:val>
          <c:extLst>
            <c:ext xmlns:c16="http://schemas.microsoft.com/office/drawing/2014/chart" uri="{C3380CC4-5D6E-409C-BE32-E72D297353CC}">
              <c16:uniqueId val="{00000000-CFA9-45C8-8DD2-A2372BCB1722}"/>
            </c:ext>
          </c:extLst>
        </c:ser>
        <c:dLbls>
          <c:showLegendKey val="0"/>
          <c:showVal val="0"/>
          <c:showCatName val="0"/>
          <c:showSerName val="0"/>
          <c:showPercent val="0"/>
          <c:showBubbleSize val="0"/>
        </c:dLbls>
        <c:gapWidth val="150"/>
        <c:shape val="box"/>
        <c:axId val="329875528"/>
        <c:axId val="329874744"/>
        <c:axId val="0"/>
      </c:bar3DChart>
      <c:catAx>
        <c:axId val="329875528"/>
        <c:scaling>
          <c:orientation val="minMax"/>
        </c:scaling>
        <c:delete val="0"/>
        <c:axPos val="b"/>
        <c:numFmt formatCode="General" sourceLinked="0"/>
        <c:majorTickMark val="none"/>
        <c:minorTickMark val="none"/>
        <c:tickLblPos val="nextTo"/>
        <c:txPr>
          <a:bodyPr/>
          <a:lstStyle/>
          <a:p>
            <a:pPr>
              <a:defRPr sz="800">
                <a:latin typeface="Arial Narrow" panose="020B0606020202030204" pitchFamily="34" charset="0"/>
              </a:defRPr>
            </a:pPr>
            <a:endParaRPr lang="es-CO"/>
          </a:p>
        </c:txPr>
        <c:crossAx val="329874744"/>
        <c:crosses val="autoZero"/>
        <c:auto val="1"/>
        <c:lblAlgn val="ctr"/>
        <c:lblOffset val="100"/>
        <c:noMultiLvlLbl val="0"/>
      </c:catAx>
      <c:valAx>
        <c:axId val="329874744"/>
        <c:scaling>
          <c:orientation val="minMax"/>
        </c:scaling>
        <c:delete val="0"/>
        <c:axPos val="l"/>
        <c:majorGridlines/>
        <c:numFmt formatCode="0_)" sourceLinked="1"/>
        <c:majorTickMark val="none"/>
        <c:minorTickMark val="none"/>
        <c:tickLblPos val="nextTo"/>
        <c:txPr>
          <a:bodyPr/>
          <a:lstStyle/>
          <a:p>
            <a:pPr>
              <a:defRPr>
                <a:latin typeface="Arial Narrow" panose="020B0606020202030204" pitchFamily="34" charset="0"/>
              </a:defRPr>
            </a:pPr>
            <a:endParaRPr lang="es-CO"/>
          </a:p>
        </c:txPr>
        <c:crossAx val="32987552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81065529212762"/>
          <c:y val="6.986111111111111E-2"/>
          <c:w val="0.47730988319590761"/>
          <c:h val="0.7547758092738408"/>
        </c:manualLayout>
      </c:layout>
      <c:bar3DChart>
        <c:barDir val="col"/>
        <c:grouping val="stacked"/>
        <c:varyColors val="0"/>
        <c:ser>
          <c:idx val="0"/>
          <c:order val="0"/>
          <c:tx>
            <c:strRef>
              <c:f>'AR Alto del Rey'!$C$1</c:f>
              <c:strCache>
                <c:ptCount val="1"/>
                <c:pt idx="0">
                  <c:v>Educación y cultura ambiental</c:v>
                </c:pt>
              </c:strCache>
            </c:strRef>
          </c:tx>
          <c:spPr>
            <a:solidFill>
              <a:schemeClr val="accent1"/>
            </a:solidFill>
            <a:ln>
              <a:noFill/>
            </a:ln>
            <a:effectLst/>
            <a:sp3d/>
          </c:spPr>
          <c:invertIfNegative val="0"/>
          <c:cat>
            <c:numRef>
              <c:f>'AR Alto del Rey'!$B$2:$B$11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Alto del Rey'!$C$2:$C$11</c:f>
              <c:numCache>
                <c:formatCode>[$$-240A]\ #,##0.00</c:formatCode>
                <c:ptCount val="10"/>
                <c:pt idx="0">
                  <c:v>3500000</c:v>
                </c:pt>
                <c:pt idx="1">
                  <c:v>1000000</c:v>
                </c:pt>
                <c:pt idx="2">
                  <c:v>0</c:v>
                </c:pt>
                <c:pt idx="3">
                  <c:v>3000000</c:v>
                </c:pt>
                <c:pt idx="4">
                  <c:v>1000000</c:v>
                </c:pt>
                <c:pt idx="5">
                  <c:v>3200000</c:v>
                </c:pt>
                <c:pt idx="6">
                  <c:v>1500000</c:v>
                </c:pt>
                <c:pt idx="7">
                  <c:v>2500000</c:v>
                </c:pt>
                <c:pt idx="8">
                  <c:v>4000000</c:v>
                </c:pt>
                <c:pt idx="9">
                  <c:v>7450000</c:v>
                </c:pt>
              </c:numCache>
            </c:numRef>
          </c:val>
          <c:extLst>
            <c:ext xmlns:c16="http://schemas.microsoft.com/office/drawing/2014/chart" uri="{C3380CC4-5D6E-409C-BE32-E72D297353CC}">
              <c16:uniqueId val="{00000000-0954-4E36-AAE2-02A93CDBC614}"/>
            </c:ext>
          </c:extLst>
        </c:ser>
        <c:ser>
          <c:idx val="1"/>
          <c:order val="1"/>
          <c:tx>
            <c:strRef>
              <c:f>'AR Alto del Rey'!$D$1</c:f>
              <c:strCache>
                <c:ptCount val="1"/>
                <c:pt idx="0">
                  <c:v>Sistemas productivos sostenibles</c:v>
                </c:pt>
              </c:strCache>
            </c:strRef>
          </c:tx>
          <c:spPr>
            <a:solidFill>
              <a:schemeClr val="accent2"/>
            </a:solidFill>
            <a:ln>
              <a:noFill/>
            </a:ln>
            <a:effectLst/>
            <a:sp3d/>
          </c:spPr>
          <c:invertIfNegative val="0"/>
          <c:cat>
            <c:numRef>
              <c:f>'AR Alto del Rey'!$B$2:$B$11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Alto del Rey'!$D$2:$D$11</c:f>
              <c:numCache>
                <c:formatCode>[$$-240A]\ #,##0.00</c:formatCode>
                <c:ptCount val="10"/>
                <c:pt idx="0">
                  <c:v>0</c:v>
                </c:pt>
                <c:pt idx="1">
                  <c:v>0</c:v>
                </c:pt>
                <c:pt idx="2">
                  <c:v>0</c:v>
                </c:pt>
                <c:pt idx="3">
                  <c:v>3000000</c:v>
                </c:pt>
                <c:pt idx="4">
                  <c:v>850000</c:v>
                </c:pt>
                <c:pt idx="5">
                  <c:v>1000000</c:v>
                </c:pt>
                <c:pt idx="6">
                  <c:v>0</c:v>
                </c:pt>
                <c:pt idx="7">
                  <c:v>0</c:v>
                </c:pt>
                <c:pt idx="8">
                  <c:v>500000</c:v>
                </c:pt>
                <c:pt idx="9">
                  <c:v>0</c:v>
                </c:pt>
              </c:numCache>
            </c:numRef>
          </c:val>
          <c:extLst>
            <c:ext xmlns:c16="http://schemas.microsoft.com/office/drawing/2014/chart" uri="{C3380CC4-5D6E-409C-BE32-E72D297353CC}">
              <c16:uniqueId val="{00000001-0954-4E36-AAE2-02A93CDBC614}"/>
            </c:ext>
          </c:extLst>
        </c:ser>
        <c:ser>
          <c:idx val="2"/>
          <c:order val="2"/>
          <c:tx>
            <c:strRef>
              <c:f>'AR Alto del Rey'!$E$1</c:f>
              <c:strCache>
                <c:ptCount val="1"/>
                <c:pt idx="0">
                  <c:v>Ecoturismo</c:v>
                </c:pt>
              </c:strCache>
            </c:strRef>
          </c:tx>
          <c:spPr>
            <a:solidFill>
              <a:schemeClr val="accent3"/>
            </a:solidFill>
            <a:ln>
              <a:noFill/>
            </a:ln>
            <a:effectLst/>
            <a:sp3d/>
          </c:spPr>
          <c:invertIfNegative val="0"/>
          <c:cat>
            <c:numRef>
              <c:f>'AR Alto del Rey'!$B$2:$B$11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Alto del Rey'!$E$2:$E$11</c:f>
              <c:numCache>
                <c:formatCode>[$$-240A]\ #,##0.00</c:formatCode>
                <c:ptCount val="10"/>
                <c:pt idx="0">
                  <c:v>1000000</c:v>
                </c:pt>
                <c:pt idx="1">
                  <c:v>2200000</c:v>
                </c:pt>
                <c:pt idx="2">
                  <c:v>3000000</c:v>
                </c:pt>
                <c:pt idx="3">
                  <c:v>2000000</c:v>
                </c:pt>
                <c:pt idx="4">
                  <c:v>4600000</c:v>
                </c:pt>
                <c:pt idx="5">
                  <c:v>5800000</c:v>
                </c:pt>
                <c:pt idx="6">
                  <c:v>2000000</c:v>
                </c:pt>
                <c:pt idx="7">
                  <c:v>1800000</c:v>
                </c:pt>
                <c:pt idx="8">
                  <c:v>4000000</c:v>
                </c:pt>
                <c:pt idx="9">
                  <c:v>3850000</c:v>
                </c:pt>
              </c:numCache>
            </c:numRef>
          </c:val>
          <c:extLst>
            <c:ext xmlns:c16="http://schemas.microsoft.com/office/drawing/2014/chart" uri="{C3380CC4-5D6E-409C-BE32-E72D297353CC}">
              <c16:uniqueId val="{00000002-0954-4E36-AAE2-02A93CDBC614}"/>
            </c:ext>
          </c:extLst>
        </c:ser>
        <c:ser>
          <c:idx val="3"/>
          <c:order val="3"/>
          <c:tx>
            <c:strRef>
              <c:f>'AR Alto del Rey'!$F$1</c:f>
              <c:strCache>
                <c:ptCount val="1"/>
                <c:pt idx="0">
                  <c:v>Ordenamiento territorial</c:v>
                </c:pt>
              </c:strCache>
            </c:strRef>
          </c:tx>
          <c:spPr>
            <a:solidFill>
              <a:schemeClr val="accent4"/>
            </a:solidFill>
            <a:ln>
              <a:noFill/>
            </a:ln>
            <a:effectLst/>
            <a:sp3d/>
          </c:spPr>
          <c:invertIfNegative val="0"/>
          <c:cat>
            <c:numRef>
              <c:f>'AR Alto del Rey'!$B$2:$B$11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Alto del Rey'!$F$2:$F$11</c:f>
              <c:numCache>
                <c:formatCode>[$$-240A]\ #,##0.00</c:formatCode>
                <c:ptCount val="10"/>
                <c:pt idx="0">
                  <c:v>3000000</c:v>
                </c:pt>
                <c:pt idx="1">
                  <c:v>1500000</c:v>
                </c:pt>
                <c:pt idx="2">
                  <c:v>3500000</c:v>
                </c:pt>
                <c:pt idx="3">
                  <c:v>3000000</c:v>
                </c:pt>
                <c:pt idx="4">
                  <c:v>800000</c:v>
                </c:pt>
                <c:pt idx="5">
                  <c:v>0</c:v>
                </c:pt>
                <c:pt idx="6">
                  <c:v>0</c:v>
                </c:pt>
                <c:pt idx="7">
                  <c:v>1000000</c:v>
                </c:pt>
                <c:pt idx="8">
                  <c:v>1300000</c:v>
                </c:pt>
                <c:pt idx="9">
                  <c:v>0</c:v>
                </c:pt>
              </c:numCache>
            </c:numRef>
          </c:val>
          <c:extLst>
            <c:ext xmlns:c16="http://schemas.microsoft.com/office/drawing/2014/chart" uri="{C3380CC4-5D6E-409C-BE32-E72D297353CC}">
              <c16:uniqueId val="{00000003-0954-4E36-AAE2-02A93CDBC614}"/>
            </c:ext>
          </c:extLst>
        </c:ser>
        <c:ser>
          <c:idx val="4"/>
          <c:order val="4"/>
          <c:tx>
            <c:strRef>
              <c:f>'AR Alto del Rey'!$G$1</c:f>
              <c:strCache>
                <c:ptCount val="1"/>
                <c:pt idx="0">
                  <c:v>Evaluación de la efectividad de manejo</c:v>
                </c:pt>
              </c:strCache>
            </c:strRef>
          </c:tx>
          <c:spPr>
            <a:solidFill>
              <a:srgbClr val="00B050"/>
            </a:solidFill>
            <a:ln>
              <a:noFill/>
            </a:ln>
            <a:effectLst/>
            <a:sp3d/>
          </c:spPr>
          <c:invertIfNegative val="0"/>
          <c:cat>
            <c:numRef>
              <c:f>'AR Alto del Rey'!$B$2:$B$11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Alto del Rey'!$G$2:$G$11</c:f>
              <c:numCache>
                <c:formatCode>[$$-240A]\ #,##0.00</c:formatCode>
                <c:ptCount val="10"/>
                <c:pt idx="0">
                  <c:v>5000000</c:v>
                </c:pt>
                <c:pt idx="1">
                  <c:v>5000000</c:v>
                </c:pt>
                <c:pt idx="2">
                  <c:v>3500000</c:v>
                </c:pt>
                <c:pt idx="3">
                  <c:v>2000000</c:v>
                </c:pt>
                <c:pt idx="4">
                  <c:v>2750000</c:v>
                </c:pt>
                <c:pt idx="5">
                  <c:v>1000000</c:v>
                </c:pt>
                <c:pt idx="6">
                  <c:v>1000000</c:v>
                </c:pt>
                <c:pt idx="7">
                  <c:v>1000000</c:v>
                </c:pt>
                <c:pt idx="8">
                  <c:v>1200000</c:v>
                </c:pt>
                <c:pt idx="9">
                  <c:v>700000</c:v>
                </c:pt>
              </c:numCache>
            </c:numRef>
          </c:val>
          <c:extLst>
            <c:ext xmlns:c16="http://schemas.microsoft.com/office/drawing/2014/chart" uri="{C3380CC4-5D6E-409C-BE32-E72D297353CC}">
              <c16:uniqueId val="{00000004-0954-4E36-AAE2-02A93CDBC614}"/>
            </c:ext>
          </c:extLst>
        </c:ser>
        <c:dLbls>
          <c:showLegendKey val="0"/>
          <c:showVal val="0"/>
          <c:showCatName val="0"/>
          <c:showSerName val="0"/>
          <c:showPercent val="0"/>
          <c:showBubbleSize val="0"/>
        </c:dLbls>
        <c:gapWidth val="55"/>
        <c:gapDepth val="55"/>
        <c:shape val="box"/>
        <c:axId val="188761416"/>
        <c:axId val="188761024"/>
        <c:axId val="0"/>
      </c:bar3DChart>
      <c:catAx>
        <c:axId val="188761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a:t>
                </a:r>
                <a:r>
                  <a:rPr lang="es-CO" sz="1000" b="1" baseline="0">
                    <a:solidFill>
                      <a:schemeClr val="tx1"/>
                    </a:solidFill>
                    <a:latin typeface="Arial Narrow" panose="020B0606020202030204" pitchFamily="34" charset="0"/>
                  </a:rPr>
                  <a:t> de Gestión</a:t>
                </a:r>
                <a:endParaRPr lang="es-CO" sz="1000" b="1">
                  <a:solidFill>
                    <a:schemeClr val="tx1"/>
                  </a:solidFill>
                  <a:latin typeface="Arial Narrow" panose="020B0606020202030204" pitchFamily="34" charset="0"/>
                </a:endParaRPr>
              </a:p>
            </c:rich>
          </c:tx>
          <c:layout>
            <c:manualLayout>
              <c:xMode val="edge"/>
              <c:yMode val="edge"/>
              <c:x val="0.69589120581196562"/>
              <c:y val="7.788713910761155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88761024"/>
        <c:crosses val="autoZero"/>
        <c:auto val="1"/>
        <c:lblAlgn val="ctr"/>
        <c:lblOffset val="100"/>
        <c:noMultiLvlLbl val="0"/>
      </c:catAx>
      <c:valAx>
        <c:axId val="188761024"/>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88761416"/>
        <c:crosses val="autoZero"/>
        <c:crossBetween val="between"/>
        <c:dispUnits>
          <c:builtInUnit val="millions"/>
          <c:dispUnitsLbl>
            <c:layout>
              <c:manualLayout>
                <c:xMode val="edge"/>
                <c:yMode val="edge"/>
                <c:x val="2.6106955380577428E-2"/>
                <c:y val="0.41518409157188685"/>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legend>
      <c:legendPos val="r"/>
      <c:layout>
        <c:manualLayout>
          <c:xMode val="edge"/>
          <c:yMode val="edge"/>
          <c:x val="0.6486866488310471"/>
          <c:y val="0.19270559930008746"/>
          <c:w val="0.32888083143396568"/>
          <c:h val="0.64236657917760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 Alto Rey'!$B$2</c:f>
              <c:strCache>
                <c:ptCount val="1"/>
                <c:pt idx="0">
                  <c:v>Estado
1. Disminucion fuerte.
2. Disminución Leve.
3. Mantiene.
4. Incremento Leve.
5. Incremento fuerte.</c:v>
                </c:pt>
              </c:strCache>
            </c:strRef>
          </c:tx>
          <c:spPr>
            <a:solidFill>
              <a:srgbClr val="0070C0"/>
            </a:solidFill>
            <a:ln>
              <a:noFill/>
            </a:ln>
            <a:effectLst/>
          </c:spPr>
          <c:invertIfNegative val="0"/>
          <c:cat>
            <c:strRef>
              <c:f>'AR Alto Rey'!$A$3:$A$8</c:f>
              <c:strCache>
                <c:ptCount val="6"/>
                <c:pt idx="0">
                  <c:v>Turismo no regulado</c:v>
                </c:pt>
                <c:pt idx="1">
                  <c:v>Extracción de madera para estacones</c:v>
                </c:pt>
                <c:pt idx="2">
                  <c:v>Cacería</c:v>
                </c:pt>
                <c:pt idx="3">
                  <c:v>Manejo inadecuado de residuos sólidos</c:v>
                </c:pt>
                <c:pt idx="4">
                  <c:v>Leñateo</c:v>
                </c:pt>
                <c:pt idx="5">
                  <c:v>Quemas agrícolas</c:v>
                </c:pt>
              </c:strCache>
            </c:strRef>
          </c:cat>
          <c:val>
            <c:numRef>
              <c:f>'AR Alto Rey'!$B$3:$B$8</c:f>
              <c:numCache>
                <c:formatCode>General</c:formatCode>
                <c:ptCount val="6"/>
                <c:pt idx="0">
                  <c:v>5</c:v>
                </c:pt>
                <c:pt idx="1">
                  <c:v>3</c:v>
                </c:pt>
                <c:pt idx="2">
                  <c:v>5</c:v>
                </c:pt>
                <c:pt idx="3">
                  <c:v>3</c:v>
                </c:pt>
                <c:pt idx="4">
                  <c:v>4</c:v>
                </c:pt>
                <c:pt idx="5">
                  <c:v>3</c:v>
                </c:pt>
              </c:numCache>
            </c:numRef>
          </c:val>
          <c:extLst>
            <c:ext xmlns:c16="http://schemas.microsoft.com/office/drawing/2014/chart" uri="{C3380CC4-5D6E-409C-BE32-E72D297353CC}">
              <c16:uniqueId val="{00000000-9E37-4769-83CF-4099162ADEAD}"/>
            </c:ext>
          </c:extLst>
        </c:ser>
        <c:ser>
          <c:idx val="1"/>
          <c:order val="1"/>
          <c:tx>
            <c:strRef>
              <c:f>'AR Alto Rey'!$C$2</c:f>
              <c:strCache>
                <c:ptCount val="1"/>
                <c:pt idx="0">
                  <c:v>Alcance
1. Localizado.
2. Aislado.
3. Extendido.
4. Generalizado.</c:v>
                </c:pt>
              </c:strCache>
            </c:strRef>
          </c:tx>
          <c:spPr>
            <a:solidFill>
              <a:srgbClr val="CCCC00"/>
            </a:solidFill>
            <a:ln>
              <a:noFill/>
            </a:ln>
            <a:effectLst/>
          </c:spPr>
          <c:invertIfNegative val="0"/>
          <c:cat>
            <c:strRef>
              <c:f>'AR Alto Rey'!$A$3:$A$8</c:f>
              <c:strCache>
                <c:ptCount val="6"/>
                <c:pt idx="0">
                  <c:v>Turismo no regulado</c:v>
                </c:pt>
                <c:pt idx="1">
                  <c:v>Extracción de madera para estacones</c:v>
                </c:pt>
                <c:pt idx="2">
                  <c:v>Cacería</c:v>
                </c:pt>
                <c:pt idx="3">
                  <c:v>Manejo inadecuado de residuos sólidos</c:v>
                </c:pt>
                <c:pt idx="4">
                  <c:v>Leñateo</c:v>
                </c:pt>
                <c:pt idx="5">
                  <c:v>Quemas agrícolas</c:v>
                </c:pt>
              </c:strCache>
            </c:strRef>
          </c:cat>
          <c:val>
            <c:numRef>
              <c:f>'AR Alto Rey'!$C$3:$C$8</c:f>
              <c:numCache>
                <c:formatCode>General</c:formatCode>
                <c:ptCount val="6"/>
                <c:pt idx="0">
                  <c:v>3</c:v>
                </c:pt>
                <c:pt idx="1">
                  <c:v>1</c:v>
                </c:pt>
                <c:pt idx="2">
                  <c:v>3</c:v>
                </c:pt>
                <c:pt idx="3">
                  <c:v>4</c:v>
                </c:pt>
                <c:pt idx="4">
                  <c:v>1</c:v>
                </c:pt>
                <c:pt idx="5">
                  <c:v>2</c:v>
                </c:pt>
              </c:numCache>
            </c:numRef>
          </c:val>
          <c:extLst>
            <c:ext xmlns:c16="http://schemas.microsoft.com/office/drawing/2014/chart" uri="{C3380CC4-5D6E-409C-BE32-E72D297353CC}">
              <c16:uniqueId val="{00000001-9E37-4769-83CF-4099162ADEAD}"/>
            </c:ext>
          </c:extLst>
        </c:ser>
        <c:ser>
          <c:idx val="2"/>
          <c:order val="2"/>
          <c:tx>
            <c:strRef>
              <c:f>'AR Alto Rey'!$D$2</c:f>
              <c:strCache>
                <c:ptCount val="1"/>
                <c:pt idx="0">
                  <c:v>Impacto 
1. Leve.
2. Moderado.
3. Alto.
4. Severo.</c:v>
                </c:pt>
              </c:strCache>
            </c:strRef>
          </c:tx>
          <c:spPr>
            <a:solidFill>
              <a:srgbClr val="FF0066"/>
            </a:solidFill>
            <a:ln>
              <a:noFill/>
            </a:ln>
            <a:effectLst/>
          </c:spPr>
          <c:invertIfNegative val="0"/>
          <c:cat>
            <c:strRef>
              <c:f>'AR Alto Rey'!$A$3:$A$8</c:f>
              <c:strCache>
                <c:ptCount val="6"/>
                <c:pt idx="0">
                  <c:v>Turismo no regulado</c:v>
                </c:pt>
                <c:pt idx="1">
                  <c:v>Extracción de madera para estacones</c:v>
                </c:pt>
                <c:pt idx="2">
                  <c:v>Cacería</c:v>
                </c:pt>
                <c:pt idx="3">
                  <c:v>Manejo inadecuado de residuos sólidos</c:v>
                </c:pt>
                <c:pt idx="4">
                  <c:v>Leñateo</c:v>
                </c:pt>
                <c:pt idx="5">
                  <c:v>Quemas agrícolas</c:v>
                </c:pt>
              </c:strCache>
            </c:strRef>
          </c:cat>
          <c:val>
            <c:numRef>
              <c:f>'AR Alto Rey'!$D$3:$D$8</c:f>
              <c:numCache>
                <c:formatCode>General</c:formatCode>
                <c:ptCount val="6"/>
                <c:pt idx="0">
                  <c:v>2</c:v>
                </c:pt>
                <c:pt idx="1">
                  <c:v>2</c:v>
                </c:pt>
                <c:pt idx="2">
                  <c:v>3</c:v>
                </c:pt>
                <c:pt idx="3">
                  <c:v>3</c:v>
                </c:pt>
                <c:pt idx="4">
                  <c:v>2</c:v>
                </c:pt>
                <c:pt idx="5">
                  <c:v>3</c:v>
                </c:pt>
              </c:numCache>
            </c:numRef>
          </c:val>
          <c:extLst>
            <c:ext xmlns:c16="http://schemas.microsoft.com/office/drawing/2014/chart" uri="{C3380CC4-5D6E-409C-BE32-E72D297353CC}">
              <c16:uniqueId val="{00000002-9E37-4769-83CF-4099162ADEAD}"/>
            </c:ext>
          </c:extLst>
        </c:ser>
        <c:ser>
          <c:idx val="3"/>
          <c:order val="3"/>
          <c:tx>
            <c:strRef>
              <c:f>'AR Alto Rey'!$E$2</c:f>
              <c:strCache>
                <c:ptCount val="1"/>
                <c:pt idx="0">
                  <c:v>Permanencia
1. Corto Plazo.
2. Mediano Plazo.
3. Largo Plazo.
4. Permanente.</c:v>
                </c:pt>
              </c:strCache>
            </c:strRef>
          </c:tx>
          <c:spPr>
            <a:solidFill>
              <a:srgbClr val="00B050"/>
            </a:solidFill>
            <a:ln>
              <a:noFill/>
            </a:ln>
            <a:effectLst/>
          </c:spPr>
          <c:invertIfNegative val="0"/>
          <c:cat>
            <c:strRef>
              <c:f>'AR Alto Rey'!$A$3:$A$8</c:f>
              <c:strCache>
                <c:ptCount val="6"/>
                <c:pt idx="0">
                  <c:v>Turismo no regulado</c:v>
                </c:pt>
                <c:pt idx="1">
                  <c:v>Extracción de madera para estacones</c:v>
                </c:pt>
                <c:pt idx="2">
                  <c:v>Cacería</c:v>
                </c:pt>
                <c:pt idx="3">
                  <c:v>Manejo inadecuado de residuos sólidos</c:v>
                </c:pt>
                <c:pt idx="4">
                  <c:v>Leñateo</c:v>
                </c:pt>
                <c:pt idx="5">
                  <c:v>Quemas agrícolas</c:v>
                </c:pt>
              </c:strCache>
            </c:strRef>
          </c:cat>
          <c:val>
            <c:numRef>
              <c:f>'AR Alto Rey'!$E$3:$E$8</c:f>
              <c:numCache>
                <c:formatCode>General</c:formatCode>
                <c:ptCount val="6"/>
                <c:pt idx="0">
                  <c:v>2</c:v>
                </c:pt>
                <c:pt idx="1">
                  <c:v>2</c:v>
                </c:pt>
                <c:pt idx="2">
                  <c:v>3</c:v>
                </c:pt>
                <c:pt idx="3">
                  <c:v>2</c:v>
                </c:pt>
                <c:pt idx="4">
                  <c:v>2</c:v>
                </c:pt>
                <c:pt idx="5">
                  <c:v>3</c:v>
                </c:pt>
              </c:numCache>
            </c:numRef>
          </c:val>
          <c:extLst>
            <c:ext xmlns:c16="http://schemas.microsoft.com/office/drawing/2014/chart" uri="{C3380CC4-5D6E-409C-BE32-E72D297353CC}">
              <c16:uniqueId val="{00000003-9E37-4769-83CF-4099162ADEAD}"/>
            </c:ext>
          </c:extLst>
        </c:ser>
        <c:dLbls>
          <c:showLegendKey val="0"/>
          <c:showVal val="0"/>
          <c:showCatName val="0"/>
          <c:showSerName val="0"/>
          <c:showPercent val="0"/>
          <c:showBubbleSize val="0"/>
        </c:dLbls>
        <c:gapWidth val="182"/>
        <c:axId val="396904256"/>
        <c:axId val="396903472"/>
      </c:barChart>
      <c:catAx>
        <c:axId val="39690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96903472"/>
        <c:crosses val="autoZero"/>
        <c:auto val="1"/>
        <c:lblAlgn val="ctr"/>
        <c:lblOffset val="100"/>
        <c:noMultiLvlLbl val="0"/>
      </c:catAx>
      <c:valAx>
        <c:axId val="396903472"/>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969042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Grafica1!$B$2:$B$8</c:f>
              <c:numCache>
                <c:formatCode>0.00</c:formatCode>
                <c:ptCount val="7"/>
                <c:pt idx="0">
                  <c:v>20.010000000000002</c:v>
                </c:pt>
                <c:pt idx="1">
                  <c:v>21.207999999999998</c:v>
                </c:pt>
                <c:pt idx="2">
                  <c:v>40.295000000000002</c:v>
                </c:pt>
                <c:pt idx="3">
                  <c:v>50.03</c:v>
                </c:pt>
                <c:pt idx="4">
                  <c:v>2.3260000000000001</c:v>
                </c:pt>
                <c:pt idx="5">
                  <c:v>3.633</c:v>
                </c:pt>
                <c:pt idx="6">
                  <c:v>0</c:v>
                </c:pt>
              </c:numCache>
            </c:numRef>
          </c:val>
          <c:extLst>
            <c:ext xmlns:c16="http://schemas.microsoft.com/office/drawing/2014/chart" uri="{C3380CC4-5D6E-409C-BE32-E72D297353CC}">
              <c16:uniqueId val="{00000000-437D-4344-A720-C9402E664934}"/>
            </c:ext>
          </c:extLst>
        </c:ser>
        <c:ser>
          <c:idx val="1"/>
          <c:order val="1"/>
          <c:tx>
            <c:strRef>
              <c:f>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dLbl>
              <c:idx val="0"/>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0-3EA0-454D-BF43-09BD4120501C}"/>
                </c:ext>
              </c:extLst>
            </c:dLbl>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Grafica1!$C$2:$C$8</c:f>
              <c:numCache>
                <c:formatCode>General</c:formatCode>
                <c:ptCount val="7"/>
                <c:pt idx="0">
                  <c:v>18</c:v>
                </c:pt>
                <c:pt idx="1">
                  <c:v>11</c:v>
                </c:pt>
                <c:pt idx="2">
                  <c:v>21</c:v>
                </c:pt>
                <c:pt idx="3">
                  <c:v>26</c:v>
                </c:pt>
                <c:pt idx="4">
                  <c:v>11</c:v>
                </c:pt>
                <c:pt idx="5">
                  <c:v>23</c:v>
                </c:pt>
                <c:pt idx="6">
                  <c:v>84</c:v>
                </c:pt>
              </c:numCache>
            </c:numRef>
          </c:val>
          <c:extLst>
            <c:ext xmlns:c16="http://schemas.microsoft.com/office/drawing/2014/chart" uri="{C3380CC4-5D6E-409C-BE32-E72D297353CC}">
              <c16:uniqueId val="{00000002-437D-4344-A720-C9402E664934}"/>
            </c:ext>
          </c:extLst>
        </c:ser>
        <c:dLbls>
          <c:dLblPos val="outEnd"/>
          <c:showLegendKey val="0"/>
          <c:showVal val="1"/>
          <c:showCatName val="0"/>
          <c:showSerName val="0"/>
          <c:showPercent val="0"/>
          <c:showBubbleSize val="0"/>
        </c:dLbls>
        <c:gapWidth val="444"/>
        <c:overlap val="-90"/>
        <c:axId val="390108312"/>
        <c:axId val="382031872"/>
      </c:barChart>
      <c:catAx>
        <c:axId val="390108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382031872"/>
        <c:crosses val="autoZero"/>
        <c:auto val="1"/>
        <c:lblAlgn val="ctr"/>
        <c:lblOffset val="100"/>
        <c:noMultiLvlLbl val="0"/>
      </c:catAx>
      <c:valAx>
        <c:axId val="382031872"/>
        <c:scaling>
          <c:orientation val="minMax"/>
        </c:scaling>
        <c:delete val="1"/>
        <c:axPos val="l"/>
        <c:numFmt formatCode="0.00" sourceLinked="1"/>
        <c:majorTickMark val="none"/>
        <c:minorTickMark val="none"/>
        <c:tickLblPos val="nextTo"/>
        <c:crossAx val="3901083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9E50-44E2-A2A1-F18E0272102C}"/>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graficas3!$A$2:$A$4</c:f>
              <c:strCache>
                <c:ptCount val="3"/>
                <c:pt idx="0">
                  <c:v>0 - 4</c:v>
                </c:pt>
                <c:pt idx="1">
                  <c:v>4 - 8</c:v>
                </c:pt>
                <c:pt idx="2">
                  <c:v>8 - 12</c:v>
                </c:pt>
              </c:strCache>
            </c:strRef>
          </c:cat>
          <c:val>
            <c:numRef>
              <c:f>graficas3!$B$2:$B$4</c:f>
              <c:numCache>
                <c:formatCode>0</c:formatCode>
                <c:ptCount val="3"/>
                <c:pt idx="0">
                  <c:v>23</c:v>
                </c:pt>
                <c:pt idx="1">
                  <c:v>8</c:v>
                </c:pt>
                <c:pt idx="2">
                  <c:v>2</c:v>
                </c:pt>
              </c:numCache>
            </c:numRef>
          </c:val>
          <c:extLst>
            <c:ext xmlns:c16="http://schemas.microsoft.com/office/drawing/2014/chart" uri="{C3380CC4-5D6E-409C-BE32-E72D297353CC}">
              <c16:uniqueId val="{00000002-9E50-44E2-A2A1-F18E0272102C}"/>
            </c:ext>
          </c:extLst>
        </c:ser>
        <c:dLbls>
          <c:showLegendKey val="0"/>
          <c:showVal val="0"/>
          <c:showCatName val="0"/>
          <c:showSerName val="0"/>
          <c:showPercent val="0"/>
          <c:showBubbleSize val="0"/>
        </c:dLbls>
        <c:gapWidth val="219"/>
        <c:overlap val="-27"/>
        <c:axId val="382034224"/>
        <c:axId val="382034616"/>
      </c:barChart>
      <c:catAx>
        <c:axId val="38203422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de los predios por rango de hectáreas </a:t>
                </a:r>
                <a:endParaRPr lang="en-US" sz="1000">
                  <a:effectLst/>
                </a:endParaRPr>
              </a:p>
              <a:p>
                <a:pPr>
                  <a:defRPr sz="900"/>
                </a:pPr>
                <a:r>
                  <a:rPr lang="en-US" sz="1000" b="1" i="0" baseline="0">
                    <a:effectLst/>
                  </a:rPr>
                  <a:t>(UAF, Balboa 5 a 10 hectáreas)</a:t>
                </a:r>
                <a:endParaRPr lang="en-US" sz="1000">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382034616"/>
        <c:crosses val="autoZero"/>
        <c:auto val="1"/>
        <c:lblAlgn val="ctr"/>
        <c:lblOffset val="100"/>
        <c:noMultiLvlLbl val="0"/>
      </c:catAx>
      <c:valAx>
        <c:axId val="38203461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38203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3.4494924386997451E-2"/>
                  <c:y val="3.05643507817165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87-404F-BA8D-FDAEE5083D55}"/>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87-404F-BA8D-FDAEE5083D55}"/>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87-404F-BA8D-FDAEE5083D55}"/>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87-404F-BA8D-FDAEE5083D55}"/>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87-404F-BA8D-FDAEE5083D55}"/>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87-404F-BA8D-FDAEE5083D55}"/>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87-404F-BA8D-FDAEE5083D55}"/>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87-404F-BA8D-FDAEE5083D55}"/>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0</c:formatCode>
                <c:ptCount val="11"/>
                <c:pt idx="0">
                  <c:v>33</c:v>
                </c:pt>
                <c:pt idx="1">
                  <c:v>4</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8-1C87-404F-BA8D-FDAEE5083D55}"/>
            </c:ext>
          </c:extLst>
        </c:ser>
        <c:dLbls>
          <c:showLegendKey val="0"/>
          <c:showVal val="0"/>
          <c:showCatName val="0"/>
          <c:showSerName val="0"/>
          <c:showPercent val="0"/>
          <c:showBubbleSize val="0"/>
        </c:dLbls>
        <c:gapWidth val="150"/>
        <c:axId val="382033048"/>
        <c:axId val="382033440"/>
      </c:barChart>
      <c:catAx>
        <c:axId val="38203304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382033440"/>
        <c:crosses val="autoZero"/>
        <c:auto val="1"/>
        <c:lblAlgn val="ctr"/>
        <c:lblOffset val="100"/>
        <c:noMultiLvlLbl val="0"/>
      </c:catAx>
      <c:valAx>
        <c:axId val="3820334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382033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10D-43BC-AB1B-5C6DFC6EEB5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10D-43BC-AB1B-5C6DFC6EEB5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0D-43BC-AB1B-5C6DFC6EEB5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0D-43BC-AB1B-5C6DFC6EEB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Datos!$A$76:$A$77</c:f>
              <c:strCache>
                <c:ptCount val="2"/>
                <c:pt idx="0">
                  <c:v>Predios totalmente al interior del área protegida </c:v>
                </c:pt>
                <c:pt idx="1">
                  <c:v>Predios parcialmente al interiordel área protegida </c:v>
                </c:pt>
              </c:strCache>
            </c:strRef>
          </c:cat>
          <c:val>
            <c:numRef>
              <c:f>Datos!$B$76:$B$77</c:f>
              <c:numCache>
                <c:formatCode>General</c:formatCode>
                <c:ptCount val="2"/>
                <c:pt idx="0" formatCode="0">
                  <c:v>9</c:v>
                </c:pt>
                <c:pt idx="1">
                  <c:v>28</c:v>
                </c:pt>
              </c:numCache>
            </c:numRef>
          </c:val>
          <c:extLst>
            <c:ext xmlns:c16="http://schemas.microsoft.com/office/drawing/2014/chart" uri="{C3380CC4-5D6E-409C-BE32-E72D297353CC}">
              <c16:uniqueId val="{00000004-D10D-43BC-AB1B-5C6DFC6EEB5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Grafica4!$B$2:$B$12</c:f>
              <c:numCache>
                <c:formatCode>0</c:formatCode>
                <c:ptCount val="11"/>
                <c:pt idx="0">
                  <c:v>10</c:v>
                </c:pt>
                <c:pt idx="1">
                  <c:v>4</c:v>
                </c:pt>
                <c:pt idx="2">
                  <c:v>1</c:v>
                </c:pt>
                <c:pt idx="3">
                  <c:v>1</c:v>
                </c:pt>
                <c:pt idx="4">
                  <c:v>1</c:v>
                </c:pt>
                <c:pt idx="5">
                  <c:v>1</c:v>
                </c:pt>
                <c:pt idx="6">
                  <c:v>3</c:v>
                </c:pt>
                <c:pt idx="7">
                  <c:v>2</c:v>
                </c:pt>
                <c:pt idx="8">
                  <c:v>2</c:v>
                </c:pt>
                <c:pt idx="9">
                  <c:v>3</c:v>
                </c:pt>
              </c:numCache>
            </c:numRef>
          </c:val>
          <c:extLst>
            <c:ext xmlns:c16="http://schemas.microsoft.com/office/drawing/2014/chart" uri="{C3380CC4-5D6E-409C-BE32-E72D297353CC}">
              <c16:uniqueId val="{00000000-33D1-457C-B92D-A822574BDD1A}"/>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Grafica4!$C$2:$C$12</c:f>
              <c:numCache>
                <c:formatCode>0</c:formatCode>
                <c:ptCount val="11"/>
                <c:pt idx="0">
                  <c:v>24</c:v>
                </c:pt>
                <c:pt idx="1">
                  <c:v>4</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33D1-457C-B92D-A822574BDD1A}"/>
            </c:ext>
          </c:extLst>
        </c:ser>
        <c:dLbls>
          <c:showLegendKey val="0"/>
          <c:showVal val="0"/>
          <c:showCatName val="0"/>
          <c:showSerName val="0"/>
          <c:showPercent val="0"/>
          <c:showBubbleSize val="0"/>
        </c:dLbls>
        <c:gapWidth val="150"/>
        <c:shape val="box"/>
        <c:axId val="381107832"/>
        <c:axId val="381107440"/>
        <c:axId val="387566088"/>
      </c:bar3DChart>
      <c:catAx>
        <c:axId val="381107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81107440"/>
        <c:crosses val="autoZero"/>
        <c:auto val="1"/>
        <c:lblAlgn val="ctr"/>
        <c:lblOffset val="100"/>
        <c:noMultiLvlLbl val="0"/>
      </c:catAx>
      <c:valAx>
        <c:axId val="381107440"/>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81107832"/>
        <c:crosses val="autoZero"/>
        <c:crossBetween val="between"/>
        <c:majorUnit val="15"/>
      </c:valAx>
      <c:serAx>
        <c:axId val="387566088"/>
        <c:scaling>
          <c:orientation val="minMax"/>
        </c:scaling>
        <c:delete val="1"/>
        <c:axPos val="b"/>
        <c:majorTickMark val="none"/>
        <c:minorTickMark val="none"/>
        <c:tickLblPos val="nextTo"/>
        <c:crossAx val="38110744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AvesAltoRey!$C$1</c:f>
              <c:strCache>
                <c:ptCount val="1"/>
                <c:pt idx="0">
                  <c:v>N° Especies</c:v>
                </c:pt>
              </c:strCache>
            </c:strRef>
          </c:tx>
          <c:spPr>
            <a:solidFill>
              <a:schemeClr val="accent1"/>
            </a:solidFill>
            <a:ln>
              <a:noFill/>
            </a:ln>
            <a:effectLst/>
          </c:spPr>
          <c:invertIfNegative val="0"/>
          <c:cat>
            <c:strRef>
              <c:f>AvesAltoRey!$A$2:$B$35</c:f>
              <c:strCache>
                <c:ptCount val="34"/>
                <c:pt idx="0">
                  <c:v>Thraupidae</c:v>
                </c:pt>
                <c:pt idx="1">
                  <c:v>Tyrannidae</c:v>
                </c:pt>
                <c:pt idx="2">
                  <c:v>Trochilidae</c:v>
                </c:pt>
                <c:pt idx="3">
                  <c:v>Picidae</c:v>
                </c:pt>
                <c:pt idx="4">
                  <c:v>Parulidae</c:v>
                </c:pt>
                <c:pt idx="5">
                  <c:v>Turdidae</c:v>
                </c:pt>
                <c:pt idx="6">
                  <c:v>Furnariidae</c:v>
                </c:pt>
                <c:pt idx="7">
                  <c:v>Troglodytidae</c:v>
                </c:pt>
                <c:pt idx="8">
                  <c:v>Icteridae</c:v>
                </c:pt>
                <c:pt idx="9">
                  <c:v>Cuculidae</c:v>
                </c:pt>
                <c:pt idx="10">
                  <c:v>Hirundinidae</c:v>
                </c:pt>
                <c:pt idx="11">
                  <c:v>Columbidae</c:v>
                </c:pt>
                <c:pt idx="12">
                  <c:v>Thamnophidae</c:v>
                </c:pt>
                <c:pt idx="13">
                  <c:v>Cardinalidae</c:v>
                </c:pt>
                <c:pt idx="14">
                  <c:v>Momotidae</c:v>
                </c:pt>
                <c:pt idx="15">
                  <c:v>Cathartidae</c:v>
                </c:pt>
                <c:pt idx="16">
                  <c:v>Accipitridae</c:v>
                </c:pt>
                <c:pt idx="17">
                  <c:v>Falconidae</c:v>
                </c:pt>
                <c:pt idx="18">
                  <c:v>Psittacidae</c:v>
                </c:pt>
                <c:pt idx="19">
                  <c:v>Emberizidae</c:v>
                </c:pt>
                <c:pt idx="20">
                  <c:v>Ramphastidae</c:v>
                </c:pt>
                <c:pt idx="21">
                  <c:v>Fringillidae</c:v>
                </c:pt>
                <c:pt idx="22">
                  <c:v>Charadriidae</c:v>
                </c:pt>
                <c:pt idx="23">
                  <c:v>Thamnophilidae</c:v>
                </c:pt>
                <c:pt idx="24">
                  <c:v>Rhinocryptidae</c:v>
                </c:pt>
                <c:pt idx="25">
                  <c:v>Strigidae</c:v>
                </c:pt>
                <c:pt idx="26">
                  <c:v>Caprimulgidae</c:v>
                </c:pt>
                <c:pt idx="27">
                  <c:v>Ardeidae</c:v>
                </c:pt>
                <c:pt idx="28">
                  <c:v>Apodidae</c:v>
                </c:pt>
                <c:pt idx="29">
                  <c:v>Bucconidae</c:v>
                </c:pt>
                <c:pt idx="30">
                  <c:v>Capitonidae</c:v>
                </c:pt>
                <c:pt idx="31">
                  <c:v>Tityridae</c:v>
                </c:pt>
                <c:pt idx="32">
                  <c:v>Vireonidae</c:v>
                </c:pt>
                <c:pt idx="33">
                  <c:v>Corvidae</c:v>
                </c:pt>
              </c:strCache>
            </c:strRef>
          </c:cat>
          <c:val>
            <c:numRef>
              <c:f>AvesAltoRey!$C$2:$C$35</c:f>
              <c:numCache>
                <c:formatCode>General</c:formatCode>
                <c:ptCount val="34"/>
                <c:pt idx="0">
                  <c:v>24</c:v>
                </c:pt>
                <c:pt idx="1">
                  <c:v>12</c:v>
                </c:pt>
                <c:pt idx="2">
                  <c:v>11</c:v>
                </c:pt>
                <c:pt idx="3">
                  <c:v>8</c:v>
                </c:pt>
                <c:pt idx="4">
                  <c:v>7</c:v>
                </c:pt>
                <c:pt idx="5">
                  <c:v>4</c:v>
                </c:pt>
                <c:pt idx="6">
                  <c:v>4</c:v>
                </c:pt>
                <c:pt idx="7">
                  <c:v>3</c:v>
                </c:pt>
                <c:pt idx="8">
                  <c:v>3</c:v>
                </c:pt>
                <c:pt idx="9">
                  <c:v>3</c:v>
                </c:pt>
                <c:pt idx="10">
                  <c:v>3</c:v>
                </c:pt>
                <c:pt idx="11">
                  <c:v>3</c:v>
                </c:pt>
                <c:pt idx="12">
                  <c:v>3</c:v>
                </c:pt>
                <c:pt idx="13">
                  <c:v>3</c:v>
                </c:pt>
                <c:pt idx="14">
                  <c:v>2</c:v>
                </c:pt>
                <c:pt idx="15">
                  <c:v>2</c:v>
                </c:pt>
                <c:pt idx="16">
                  <c:v>2</c:v>
                </c:pt>
                <c:pt idx="17">
                  <c:v>2</c:v>
                </c:pt>
                <c:pt idx="18">
                  <c:v>2</c:v>
                </c:pt>
                <c:pt idx="19">
                  <c:v>2</c:v>
                </c:pt>
                <c:pt idx="20">
                  <c:v>2</c:v>
                </c:pt>
                <c:pt idx="21">
                  <c:v>1</c:v>
                </c:pt>
                <c:pt idx="22">
                  <c:v>1</c:v>
                </c:pt>
                <c:pt idx="23">
                  <c:v>1</c:v>
                </c:pt>
                <c:pt idx="24">
                  <c:v>1</c:v>
                </c:pt>
                <c:pt idx="25">
                  <c:v>1</c:v>
                </c:pt>
                <c:pt idx="26">
                  <c:v>1</c:v>
                </c:pt>
                <c:pt idx="27">
                  <c:v>1</c:v>
                </c:pt>
                <c:pt idx="28">
                  <c:v>1</c:v>
                </c:pt>
                <c:pt idx="29">
                  <c:v>1</c:v>
                </c:pt>
                <c:pt idx="30">
                  <c:v>1</c:v>
                </c:pt>
                <c:pt idx="31">
                  <c:v>1</c:v>
                </c:pt>
                <c:pt idx="32">
                  <c:v>1</c:v>
                </c:pt>
                <c:pt idx="33">
                  <c:v>1</c:v>
                </c:pt>
              </c:numCache>
            </c:numRef>
          </c:val>
          <c:extLst>
            <c:ext xmlns:c16="http://schemas.microsoft.com/office/drawing/2014/chart" uri="{C3380CC4-5D6E-409C-BE32-E72D297353CC}">
              <c16:uniqueId val="{00000000-08EC-4BC1-8126-03E1E6B7A987}"/>
            </c:ext>
          </c:extLst>
        </c:ser>
        <c:dLbls>
          <c:showLegendKey val="0"/>
          <c:showVal val="0"/>
          <c:showCatName val="0"/>
          <c:showSerName val="0"/>
          <c:showPercent val="0"/>
          <c:showBubbleSize val="0"/>
        </c:dLbls>
        <c:gapWidth val="219"/>
        <c:overlap val="-27"/>
        <c:axId val="392783088"/>
        <c:axId val="392782696"/>
      </c:barChart>
      <c:catAx>
        <c:axId val="3927830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Familias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2782696"/>
        <c:crosses val="autoZero"/>
        <c:auto val="1"/>
        <c:lblAlgn val="ctr"/>
        <c:lblOffset val="100"/>
        <c:noMultiLvlLbl val="0"/>
      </c:catAx>
      <c:valAx>
        <c:axId val="392782696"/>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a:t>
                </a:r>
                <a:r>
                  <a:rPr lang="en-US" b="1" baseline="0"/>
                  <a:t> Especies</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278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41864834163582"/>
          <c:y val="0.12541666666666668"/>
          <c:w val="0.60889645119322533"/>
          <c:h val="0.72270522548317828"/>
        </c:manualLayout>
      </c:layout>
      <c:barChart>
        <c:barDir val="col"/>
        <c:grouping val="stacked"/>
        <c:varyColors val="0"/>
        <c:ser>
          <c:idx val="0"/>
          <c:order val="0"/>
          <c:tx>
            <c:strRef>
              <c:f>GraficaConcesAño!$B$3</c:f>
              <c:strCache>
                <c:ptCount val="1"/>
                <c:pt idx="0">
                  <c:v>Humano y Doméstico</c:v>
                </c:pt>
              </c:strCache>
            </c:strRef>
          </c:tx>
          <c:spPr>
            <a:solidFill>
              <a:srgbClr val="92D050"/>
            </a:solidFill>
            <a:ln w="25400">
              <a:noFill/>
            </a:ln>
          </c:spPr>
          <c:invertIfNegative val="0"/>
          <c:cat>
            <c:numRef>
              <c:f>GraficaConcesAño!$A$4:$A$6</c:f>
              <c:numCache>
                <c:formatCode>General</c:formatCode>
                <c:ptCount val="3"/>
                <c:pt idx="0">
                  <c:v>2010</c:v>
                </c:pt>
                <c:pt idx="1">
                  <c:v>2011</c:v>
                </c:pt>
                <c:pt idx="2">
                  <c:v>2017</c:v>
                </c:pt>
              </c:numCache>
            </c:numRef>
          </c:cat>
          <c:val>
            <c:numRef>
              <c:f>GraficaConcesAño!$B$4:$B$6</c:f>
              <c:numCache>
                <c:formatCode>General</c:formatCode>
                <c:ptCount val="3"/>
                <c:pt idx="0">
                  <c:v>8.0000000000000002E-3</c:v>
                </c:pt>
                <c:pt idx="1">
                  <c:v>0.02</c:v>
                </c:pt>
                <c:pt idx="2" formatCode="0.000">
                  <c:v>2.5000000000000001E-2</c:v>
                </c:pt>
              </c:numCache>
            </c:numRef>
          </c:val>
          <c:extLst>
            <c:ext xmlns:c16="http://schemas.microsoft.com/office/drawing/2014/chart" uri="{C3380CC4-5D6E-409C-BE32-E72D297353CC}">
              <c16:uniqueId val="{00000000-3659-4C06-8974-6467C276B7BF}"/>
            </c:ext>
          </c:extLst>
        </c:ser>
        <c:ser>
          <c:idx val="1"/>
          <c:order val="1"/>
          <c:tx>
            <c:strRef>
              <c:f>GraficaConcesAño!$C$3</c:f>
              <c:strCache>
                <c:ptCount val="1"/>
                <c:pt idx="0">
                  <c:v>Agricola</c:v>
                </c:pt>
              </c:strCache>
            </c:strRef>
          </c:tx>
          <c:spPr>
            <a:solidFill>
              <a:srgbClr val="ED7D31"/>
            </a:solidFill>
            <a:ln w="25400">
              <a:noFill/>
            </a:ln>
          </c:spPr>
          <c:invertIfNegative val="0"/>
          <c:cat>
            <c:numRef>
              <c:f>GraficaConcesAño!$A$4:$A$6</c:f>
              <c:numCache>
                <c:formatCode>General</c:formatCode>
                <c:ptCount val="3"/>
                <c:pt idx="0">
                  <c:v>2010</c:v>
                </c:pt>
                <c:pt idx="1">
                  <c:v>2011</c:v>
                </c:pt>
                <c:pt idx="2">
                  <c:v>2017</c:v>
                </c:pt>
              </c:numCache>
            </c:numRef>
          </c:cat>
          <c:val>
            <c:numRef>
              <c:f>GraficaConcesAño!$C$4:$C$6</c:f>
              <c:numCache>
                <c:formatCode>General</c:formatCode>
                <c:ptCount val="3"/>
                <c:pt idx="0">
                  <c:v>0.01</c:v>
                </c:pt>
                <c:pt idx="2" formatCode="0.000">
                  <c:v>5.5E-2</c:v>
                </c:pt>
              </c:numCache>
            </c:numRef>
          </c:val>
          <c:extLst>
            <c:ext xmlns:c16="http://schemas.microsoft.com/office/drawing/2014/chart" uri="{C3380CC4-5D6E-409C-BE32-E72D297353CC}">
              <c16:uniqueId val="{00000001-3659-4C06-8974-6467C276B7BF}"/>
            </c:ext>
          </c:extLst>
        </c:ser>
        <c:dLbls>
          <c:showLegendKey val="0"/>
          <c:showVal val="0"/>
          <c:showCatName val="0"/>
          <c:showSerName val="0"/>
          <c:showPercent val="0"/>
          <c:showBubbleSize val="0"/>
        </c:dLbls>
        <c:gapWidth val="150"/>
        <c:overlap val="100"/>
        <c:axId val="465168688"/>
        <c:axId val="465168296"/>
      </c:barChart>
      <c:catAx>
        <c:axId val="4651686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t>Destino</a:t>
                </a:r>
              </a:p>
            </c:rich>
          </c:tx>
          <c:layout>
            <c:manualLayout>
              <c:xMode val="edge"/>
              <c:yMode val="edge"/>
              <c:x val="0.83391723151902231"/>
              <c:y val="0.27740663326175136"/>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5168296"/>
        <c:crosses val="autoZero"/>
        <c:auto val="1"/>
        <c:lblAlgn val="ctr"/>
        <c:lblOffset val="100"/>
        <c:noMultiLvlLbl val="0"/>
      </c:catAx>
      <c:valAx>
        <c:axId val="465168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sz="1000" b="1" i="0" baseline="0">
                    <a:effectLst/>
                    <a:latin typeface="Arial Narrow" panose="020B0606020202030204" pitchFamily="34" charset="0"/>
                  </a:rPr>
                  <a:t>Caudal Otorgado menor 0,1 l/s</a:t>
                </a:r>
                <a:endParaRPr lang="en-US" sz="1000">
                  <a:effectLst/>
                  <a:latin typeface="Arial Narrow" panose="020B0606020202030204" pitchFamily="34" charset="0"/>
                </a:endParaRPr>
              </a:p>
            </c:rich>
          </c:tx>
          <c:layout>
            <c:manualLayout>
              <c:xMode val="edge"/>
              <c:yMode val="edge"/>
              <c:x val="4.0025071492929054E-2"/>
              <c:y val="0.10053364182557749"/>
            </c:manualLayout>
          </c:layout>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5168688"/>
        <c:crosses val="autoZero"/>
        <c:crossBetween val="between"/>
      </c:valAx>
      <c:spPr>
        <a:noFill/>
        <a:ln w="25400">
          <a:noFill/>
        </a:ln>
      </c:spPr>
    </c:plotArea>
    <c:legend>
      <c:legendPos val="r"/>
      <c:layout>
        <c:manualLayout>
          <c:xMode val="edge"/>
          <c:yMode val="edge"/>
          <c:x val="0.78721059469951959"/>
          <c:y val="0.37818487234550224"/>
          <c:w val="0.21013864320637854"/>
          <c:h val="0.33050097828680508"/>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0.8125</c:v>
                </c:pt>
                <c:pt idx="1">
                  <c:v>0.75</c:v>
                </c:pt>
                <c:pt idx="2">
                  <c:v>0.80555555555555558</c:v>
                </c:pt>
                <c:pt idx="3">
                  <c:v>0.95</c:v>
                </c:pt>
                <c:pt idx="4">
                  <c:v>0.83333333333333348</c:v>
                </c:pt>
                <c:pt idx="5">
                  <c:v>0.375</c:v>
                </c:pt>
              </c:numCache>
            </c:numRef>
          </c:val>
          <c:extLst>
            <c:ext xmlns:c16="http://schemas.microsoft.com/office/drawing/2014/chart" uri="{C3380CC4-5D6E-409C-BE32-E72D297353CC}">
              <c16:uniqueId val="{00000000-15E1-4C39-B0E5-E85B135DD2D1}"/>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0.1875</c:v>
                </c:pt>
                <c:pt idx="1">
                  <c:v>0.25</c:v>
                </c:pt>
                <c:pt idx="2">
                  <c:v>0.19444444444444442</c:v>
                </c:pt>
                <c:pt idx="3">
                  <c:v>5.0000000000000044E-2</c:v>
                </c:pt>
                <c:pt idx="4">
                  <c:v>0.16666666666666652</c:v>
                </c:pt>
                <c:pt idx="5">
                  <c:v>0.625</c:v>
                </c:pt>
              </c:numCache>
            </c:numRef>
          </c:val>
          <c:extLst>
            <c:ext xmlns:c16="http://schemas.microsoft.com/office/drawing/2014/chart" uri="{C3380CC4-5D6E-409C-BE32-E72D297353CC}">
              <c16:uniqueId val="{00000001-15E1-4C39-B0E5-E85B135DD2D1}"/>
            </c:ext>
          </c:extLst>
        </c:ser>
        <c:dLbls>
          <c:showLegendKey val="0"/>
          <c:showVal val="1"/>
          <c:showCatName val="0"/>
          <c:showSerName val="0"/>
          <c:showPercent val="0"/>
          <c:showBubbleSize val="0"/>
        </c:dLbls>
        <c:gapWidth val="150"/>
        <c:shape val="box"/>
        <c:axId val="319804160"/>
        <c:axId val="319804944"/>
        <c:axId val="0"/>
      </c:bar3DChart>
      <c:catAx>
        <c:axId val="319804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319804944"/>
        <c:crosses val="autoZero"/>
        <c:auto val="1"/>
        <c:lblAlgn val="ctr"/>
        <c:lblOffset val="100"/>
        <c:noMultiLvlLbl val="0"/>
      </c:catAx>
      <c:valAx>
        <c:axId val="319804944"/>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198041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50399285195734"/>
          <c:y val="0.15982645026514541"/>
          <c:w val="0.42020075947953317"/>
          <c:h val="0.57821593729355258"/>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c:v>
                </c:pt>
                <c:pt idx="1">
                  <c:v>3</c:v>
                </c:pt>
                <c:pt idx="2">
                  <c:v>3</c:v>
                </c:pt>
                <c:pt idx="3">
                  <c:v>4</c:v>
                </c:pt>
              </c:numCache>
            </c:numRef>
          </c:val>
          <c:extLst>
            <c:ext xmlns:c16="http://schemas.microsoft.com/office/drawing/2014/chart" uri="{C3380CC4-5D6E-409C-BE32-E72D297353CC}">
              <c16:uniqueId val="{00000000-6327-4517-9F26-85F8D7C9ADFB}"/>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6327-4517-9F26-85F8D7C9ADFB}"/>
            </c:ext>
          </c:extLst>
        </c:ser>
        <c:dLbls>
          <c:showLegendKey val="0"/>
          <c:showVal val="0"/>
          <c:showCatName val="0"/>
          <c:showSerName val="0"/>
          <c:showPercent val="0"/>
          <c:showBubbleSize val="0"/>
        </c:dLbls>
        <c:axId val="254074040"/>
        <c:axId val="254073648"/>
      </c:radarChart>
      <c:catAx>
        <c:axId val="254074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54073648"/>
        <c:crosses val="autoZero"/>
        <c:auto val="1"/>
        <c:lblAlgn val="ctr"/>
        <c:lblOffset val="100"/>
        <c:noMultiLvlLbl val="0"/>
      </c:catAx>
      <c:valAx>
        <c:axId val="25407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254074040"/>
        <c:crosses val="autoZero"/>
        <c:crossBetween val="between"/>
        <c:majorUnit val="1"/>
      </c:valAx>
      <c:spPr>
        <a:noFill/>
        <a:ln>
          <a:noFill/>
        </a:ln>
        <a:effectLst/>
      </c:spPr>
    </c:plotArea>
    <c:legend>
      <c:legendPos val="b"/>
      <c:layout>
        <c:manualLayout>
          <c:xMode val="edge"/>
          <c:yMode val="edge"/>
          <c:x val="8.345591109621936E-2"/>
          <c:y val="0.91521274126448482"/>
          <c:w val="0.84372675490031834"/>
          <c:h val="4.1395177814302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91558295032121"/>
          <c:y val="0.18760355286714989"/>
          <c:w val="0.49713686562836856"/>
          <c:h val="0.60150363010782726"/>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4</c:v>
                </c:pt>
                <c:pt idx="2">
                  <c:v>2</c:v>
                </c:pt>
                <c:pt idx="3">
                  <c:v>3</c:v>
                </c:pt>
              </c:numCache>
            </c:numRef>
          </c:val>
          <c:extLst>
            <c:ext xmlns:c16="http://schemas.microsoft.com/office/drawing/2014/chart" uri="{C3380CC4-5D6E-409C-BE32-E72D297353CC}">
              <c16:uniqueId val="{00000000-4D84-4627-82ED-E1A8777EB646}"/>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4D84-4627-82ED-E1A8777EB646}"/>
            </c:ext>
          </c:extLst>
        </c:ser>
        <c:dLbls>
          <c:showLegendKey val="0"/>
          <c:showVal val="0"/>
          <c:showCatName val="0"/>
          <c:showSerName val="0"/>
          <c:showPercent val="0"/>
          <c:showBubbleSize val="0"/>
        </c:dLbls>
        <c:axId val="458720608"/>
        <c:axId val="458721392"/>
      </c:radarChart>
      <c:catAx>
        <c:axId val="458720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58721392"/>
        <c:crosses val="autoZero"/>
        <c:auto val="1"/>
        <c:lblAlgn val="ctr"/>
        <c:lblOffset val="100"/>
        <c:noMultiLvlLbl val="0"/>
      </c:catAx>
      <c:valAx>
        <c:axId val="45872139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587206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2">
          <a:lumMod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05972867515"/>
          <c:y val="0.19687787942513066"/>
          <c:w val="0.44829907202881519"/>
          <c:h val="0.53781139544491374"/>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3</c:v>
                </c:pt>
                <c:pt idx="2">
                  <c:v>4</c:v>
                </c:pt>
                <c:pt idx="3">
                  <c:v>3</c:v>
                </c:pt>
                <c:pt idx="4">
                  <c:v>0</c:v>
                </c:pt>
                <c:pt idx="5">
                  <c:v>3</c:v>
                </c:pt>
                <c:pt idx="6">
                  <c:v>3</c:v>
                </c:pt>
                <c:pt idx="7">
                  <c:v>4</c:v>
                </c:pt>
                <c:pt idx="8">
                  <c:v>3</c:v>
                </c:pt>
                <c:pt idx="9">
                  <c:v>3</c:v>
                </c:pt>
              </c:numCache>
            </c:numRef>
          </c:val>
          <c:extLst>
            <c:ext xmlns:c16="http://schemas.microsoft.com/office/drawing/2014/chart" uri="{C3380CC4-5D6E-409C-BE32-E72D297353CC}">
              <c16:uniqueId val="{00000000-8B55-4577-B0BE-DE13F552C6ED}"/>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8B55-4577-B0BE-DE13F552C6ED}"/>
            </c:ext>
          </c:extLst>
        </c:ser>
        <c:dLbls>
          <c:showLegendKey val="0"/>
          <c:showVal val="0"/>
          <c:showCatName val="0"/>
          <c:showSerName val="0"/>
          <c:showPercent val="0"/>
          <c:showBubbleSize val="0"/>
        </c:dLbls>
        <c:axId val="465133480"/>
        <c:axId val="465135048"/>
      </c:radarChart>
      <c:catAx>
        <c:axId val="465133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5135048"/>
        <c:crosses val="autoZero"/>
        <c:auto val="1"/>
        <c:lblAlgn val="ctr"/>
        <c:lblOffset val="100"/>
        <c:noMultiLvlLbl val="0"/>
      </c:catAx>
      <c:valAx>
        <c:axId val="46513504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65133480"/>
        <c:crosses val="autoZero"/>
        <c:crossBetween val="between"/>
        <c:majorUnit val="1"/>
      </c:valAx>
      <c:spPr>
        <a:noFill/>
        <a:ln>
          <a:noFill/>
        </a:ln>
        <a:effectLst/>
      </c:spPr>
    </c:plotArea>
    <c:legend>
      <c:legendPos val="b"/>
      <c:layout>
        <c:manualLayout>
          <c:xMode val="edge"/>
          <c:yMode val="edge"/>
          <c:x val="0.18726806857122483"/>
          <c:y val="0.9148583413054675"/>
          <c:w val="0.60282644635464711"/>
          <c:h val="5.71042755169622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5"/>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3</c:v>
                </c:pt>
              </c:numCache>
            </c:numRef>
          </c:val>
          <c:extLst>
            <c:ext xmlns:c16="http://schemas.microsoft.com/office/drawing/2014/chart" uri="{C3380CC4-5D6E-409C-BE32-E72D297353CC}">
              <c16:uniqueId val="{00000000-77E5-424C-834A-C81F832BBBDF}"/>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77E5-424C-834A-C81F832BBBDF}"/>
            </c:ext>
          </c:extLst>
        </c:ser>
        <c:dLbls>
          <c:showLegendKey val="0"/>
          <c:showVal val="0"/>
          <c:showCatName val="0"/>
          <c:showSerName val="0"/>
          <c:showPercent val="0"/>
          <c:showBubbleSize val="0"/>
        </c:dLbls>
        <c:axId val="460126632"/>
        <c:axId val="460127024"/>
      </c:radarChart>
      <c:catAx>
        <c:axId val="460126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0127024"/>
        <c:crosses val="autoZero"/>
        <c:auto val="1"/>
        <c:lblAlgn val="ctr"/>
        <c:lblOffset val="100"/>
        <c:noMultiLvlLbl val="0"/>
      </c:catAx>
      <c:valAx>
        <c:axId val="46012702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601266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4</c:v>
                </c:pt>
                <c:pt idx="1">
                  <c:v>4</c:v>
                </c:pt>
                <c:pt idx="2">
                  <c:v>3</c:v>
                </c:pt>
                <c:pt idx="3">
                  <c:v>4</c:v>
                </c:pt>
                <c:pt idx="4">
                  <c:v>4</c:v>
                </c:pt>
              </c:numCache>
            </c:numRef>
          </c:val>
          <c:extLst>
            <c:ext xmlns:c16="http://schemas.microsoft.com/office/drawing/2014/chart" uri="{C3380CC4-5D6E-409C-BE32-E72D297353CC}">
              <c16:uniqueId val="{00000000-DF08-4FD5-BEAA-CDD2428744CB}"/>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DF08-4FD5-BEAA-CDD2428744CB}"/>
            </c:ext>
          </c:extLst>
        </c:ser>
        <c:dLbls>
          <c:showLegendKey val="0"/>
          <c:showVal val="0"/>
          <c:showCatName val="0"/>
          <c:showSerName val="0"/>
          <c:showPercent val="0"/>
          <c:showBubbleSize val="0"/>
        </c:dLbls>
        <c:axId val="460128200"/>
        <c:axId val="460128592"/>
      </c:radarChart>
      <c:catAx>
        <c:axId val="460128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0128592"/>
        <c:crosses val="autoZero"/>
        <c:auto val="1"/>
        <c:lblAlgn val="ctr"/>
        <c:lblOffset val="100"/>
        <c:noMultiLvlLbl val="0"/>
      </c:catAx>
      <c:valAx>
        <c:axId val="46012859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601282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2125734283214"/>
          <c:y val="0.10985400737951234"/>
          <c:w val="0.42761773429912858"/>
          <c:h val="0.74972660850689066"/>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1</c:v>
                </c:pt>
                <c:pt idx="1">
                  <c:v>1</c:v>
                </c:pt>
                <c:pt idx="2">
                  <c:v>3</c:v>
                </c:pt>
                <c:pt idx="3">
                  <c:v>1</c:v>
                </c:pt>
              </c:numCache>
            </c:numRef>
          </c:val>
          <c:extLst>
            <c:ext xmlns:c16="http://schemas.microsoft.com/office/drawing/2014/chart" uri="{C3380CC4-5D6E-409C-BE32-E72D297353CC}">
              <c16:uniqueId val="{00000000-F0C9-4DCB-9990-0BE451DD5ABA}"/>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F0C9-4DCB-9990-0BE451DD5ABA}"/>
            </c:ext>
          </c:extLst>
        </c:ser>
        <c:dLbls>
          <c:showLegendKey val="0"/>
          <c:showVal val="0"/>
          <c:showCatName val="0"/>
          <c:showSerName val="0"/>
          <c:showPercent val="0"/>
          <c:showBubbleSize val="0"/>
        </c:dLbls>
        <c:axId val="460129768"/>
        <c:axId val="460130160"/>
      </c:radarChart>
      <c:catAx>
        <c:axId val="460129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0130160"/>
        <c:crosses val="autoZero"/>
        <c:auto val="1"/>
        <c:lblAlgn val="ctr"/>
        <c:lblOffset val="100"/>
        <c:noMultiLvlLbl val="0"/>
      </c:catAx>
      <c:valAx>
        <c:axId val="46013016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60129768"/>
        <c:crosses val="autoZero"/>
        <c:crossBetween val="between"/>
        <c:majorUnit val="1"/>
      </c:valAx>
      <c:spPr>
        <a:noFill/>
        <a:ln>
          <a:noFill/>
        </a:ln>
        <a:effectLst/>
      </c:spPr>
    </c:plotArea>
    <c:legend>
      <c:legendPos val="b"/>
      <c:layout>
        <c:manualLayout>
          <c:xMode val="edge"/>
          <c:yMode val="edge"/>
          <c:x val="0.18976367954005749"/>
          <c:y val="0.93754072045342163"/>
          <c:w val="0.63317105361829784"/>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GraficaConcesiones!$B$1</c:f>
              <c:strCache>
                <c:ptCount val="1"/>
                <c:pt idx="0">
                  <c:v>Caudal Concesionado  l/s</c:v>
                </c:pt>
              </c:strCache>
            </c:strRef>
          </c:tx>
          <c:dPt>
            <c:idx val="0"/>
            <c:bubble3D val="0"/>
            <c:extLst>
              <c:ext xmlns:c16="http://schemas.microsoft.com/office/drawing/2014/chart" uri="{C3380CC4-5D6E-409C-BE32-E72D297353CC}">
                <c16:uniqueId val="{00000000-779D-4F99-94C1-E12CA3EFF32C}"/>
              </c:ext>
            </c:extLst>
          </c:dPt>
          <c:dPt>
            <c:idx val="1"/>
            <c:bubble3D val="0"/>
            <c:extLst>
              <c:ext xmlns:c16="http://schemas.microsoft.com/office/drawing/2014/chart" uri="{C3380CC4-5D6E-409C-BE32-E72D297353CC}">
                <c16:uniqueId val="{00000001-779D-4F99-94C1-E12CA3EFF32C}"/>
              </c:ext>
            </c:extLst>
          </c:dPt>
          <c:dPt>
            <c:idx val="2"/>
            <c:bubble3D val="0"/>
            <c:extLst>
              <c:ext xmlns:c16="http://schemas.microsoft.com/office/drawing/2014/chart" uri="{C3380CC4-5D6E-409C-BE32-E72D297353CC}">
                <c16:uniqueId val="{00000002-779D-4F99-94C1-E12CA3EFF32C}"/>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GraficaConcesiones!$A$2:$A$3</c:f>
              <c:strCache>
                <c:ptCount val="2"/>
                <c:pt idx="0">
                  <c:v>Agrícola</c:v>
                </c:pt>
                <c:pt idx="1">
                  <c:v>Humano y Doméstico</c:v>
                </c:pt>
              </c:strCache>
            </c:strRef>
          </c:cat>
          <c:val>
            <c:numRef>
              <c:f>GraficaConcesiones!$B$2:$B$3</c:f>
            </c:numRef>
          </c:val>
          <c:extLst>
            <c:ext xmlns:c16="http://schemas.microsoft.com/office/drawing/2014/chart" uri="{C3380CC4-5D6E-409C-BE32-E72D297353CC}">
              <c16:uniqueId val="{00000003-779D-4F99-94C1-E12CA3EFF32C}"/>
            </c:ext>
          </c:extLst>
        </c:ser>
        <c:ser>
          <c:idx val="1"/>
          <c:order val="1"/>
          <c:tx>
            <c:strRef>
              <c:f>GraficaConcesiones!$C$1</c:f>
              <c:strCache>
                <c:ptCount val="1"/>
                <c:pt idx="0">
                  <c:v>%</c:v>
                </c:pt>
              </c:strCache>
            </c:strRef>
          </c:tx>
          <c:dPt>
            <c:idx val="0"/>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779D-4F99-94C1-E12CA3EFF32C}"/>
              </c:ext>
            </c:extLst>
          </c:dPt>
          <c:dPt>
            <c:idx val="1"/>
            <c:bubble3D val="0"/>
            <c:spPr>
              <a:solidFill>
                <a:srgbClr val="F09252"/>
              </a:solidFill>
              <a:ln w="25400">
                <a:solidFill>
                  <a:schemeClr val="lt1"/>
                </a:solidFill>
              </a:ln>
              <a:effectLst/>
              <a:sp3d contourW="25400">
                <a:contourClr>
                  <a:schemeClr val="lt1"/>
                </a:contourClr>
              </a:sp3d>
            </c:spPr>
            <c:extLst>
              <c:ext xmlns:c16="http://schemas.microsoft.com/office/drawing/2014/chart" uri="{C3380CC4-5D6E-409C-BE32-E72D297353CC}">
                <c16:uniqueId val="{00000007-779D-4F99-94C1-E12CA3EFF32C}"/>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9-779D-4F99-94C1-E12CA3EFF32C}"/>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GraficaConcesiones!$A$2:$A$3</c:f>
              <c:strCache>
                <c:ptCount val="2"/>
                <c:pt idx="0">
                  <c:v>Agrícola</c:v>
                </c:pt>
                <c:pt idx="1">
                  <c:v>Humano y Doméstico</c:v>
                </c:pt>
              </c:strCache>
            </c:strRef>
          </c:cat>
          <c:val>
            <c:numRef>
              <c:f>GraficaConcesiones!$C$2:$C$3</c:f>
              <c:numCache>
                <c:formatCode>0</c:formatCode>
                <c:ptCount val="2"/>
                <c:pt idx="0">
                  <c:v>55.084745762711869</c:v>
                </c:pt>
                <c:pt idx="1">
                  <c:v>44.915254237288138</c:v>
                </c:pt>
              </c:numCache>
            </c:numRef>
          </c:val>
          <c:extLst>
            <c:ext xmlns:c16="http://schemas.microsoft.com/office/drawing/2014/chart" uri="{C3380CC4-5D6E-409C-BE32-E72D297353CC}">
              <c16:uniqueId val="{0000000A-779D-4F99-94C1-E12CA3EFF32C}"/>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25099146981627296"/>
          <c:y val="0.8524300087489064"/>
          <c:w val="0.55635039370078743"/>
          <c:h val="0.1197922134733158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WFXGjtm6j2Bgv+BEvr54IECo/Q==">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2021-05-28T00:24:00Z</dcterms:created>
  <dc:creator>ASUS</dc:creator>
</cp:coreProperties>
</file>